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Projekta ietvaros var kombinēt izmaksas, kuras ir saistītas un kuras nav saistītas ar komercdarbības atbalstu, vienlaikus nodrošinot izmaksu, kas ir attiecināmas uz komercdarbības atbalstu un izmaksu, kas nav attiecināmas uz komercdarbības atbalstu, nodalīšanu.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47. punktu, ņemot vērā, ka tas dublē noteikumu projekta 46.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48.3.1. atjaunojamās enerģijas ieguve nav projekta mērķis, un saražotā atjaunojamā enerģija netiks izmantota ienākumu gūšanai no enerģijas pārdošanas;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48.3.1. apakšpunktu, nodrošinot tā atbilstību Eiropas Komisijas 2018.gada 25.jūnijā sniegtajam skaidrojumam “eState aid WIKI” sistēmā par enerģijas infrastruktūras izmaksu attiecināmību saskaņā ar Regulas Nr.651/2014 14.pantu, proti, lūdzam noteikt konkrētu procentuālo apmēru pieļaujamām enerģijas infrastruktūras izmaksām projektā, nodrošinot, ka projekta attiecināmo izmaksu lielākā daļa nav saistīta ar ieguldījumiem enerģijas ražošanā. Ierosinām attiecināmo izmaksu apmēru ieguldījumiem enerģijas ražošanā noteikt ne vairāk kā 30% apmērā no kopējām projekta attiecināmām izmaksām. Attiecīgi lūdzam precizēt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atbalsts netiek piešķirts grūtībās nonākušiem uzņēmumiem (tai skaitā grūtībās nonākušai pašvaldības kapitālsabiedrībai, kas ir noslēgusi pakalpojumu līgumu par sabiedrisko pakalpojumu sniegšanu), kuri atbilst vismaz vienai no regulas Nr. 651/2014 2. panta 18. punktā paredzētajām situācijām;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papildināt noteikumu projektu ar normu, ka Komisijas regulas Nr. 651/2014 2. panta 18. punkta c) apakšpunkta nosacījums tiks pārbaudīts, piemēram, balstoties uz atbalsta pretendenta iesniegtu apliecinājumu. No tiesību piemērotāja viedokļa šai prasībai ir jābūt iekļautai arī tiesību aktā, saskaņā ar kuru atbalsta pretendents piesakās atbalsta saņemšanai, jo īpaši ņemot vērā faktu, ka pārbaudi nav iespējams veikt, pamatojoties uz publiskajos reģistros pieejamo informāciju, bet paļaujoties tikai uz pretendenta iesniegtu apliecinājumu. Attiecīgi atbalsta pretendentam, jau sākotnēji ir jābūt zināmam, ka šāds apliecinājums ir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 4. panta 1. punkta "a" un "cc" apakšpunkta nosacījumi, ka individuālais atbalsts nepārsniedz šajos apakšpunktos noteiktās paziņošanas robežvērtības;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ir paredzēts komercdarbības atbalsts arī ieguldījumiem vides aizsardzībai saskaņā ar Komisijas regulas Nr. 651/2014 41. un 45. pantu, lūdzam papildināt noteikumu projekta 58.5. apakšpunktu ar atsauci uz Komisijas regulas Nr. 651/2014 4. panta 1. punkta "s" apakšpunkta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tiek pārkāptas šajos noteikumos minētās komercdarbības atbalsta kontroles normas, tostarp nosacījumi, kas izriet no regulas Nr. 651/2014 prasībām, vai tiek pārkāpti komercdarbības atbalsta piešķiršanas nosacījumi vispārējas tautsaimnieciskas nozīmes pakalpojumu sniegšanai, finansējuma saņēmējam un sadarbības partnerim ir pienākums atmaksāt sadarbības iestādei projekta ietvaros saņemto nelikumīgo komercdarbības atbalstu, savukārt, ja tiek pārkāptas šajos noteikumos minētās komercdarbības atbalsta kontroles normas, tostarp nosacījumi, kas izriet no regulas Nr. 1407/2013 prasībām, finansējuma saņēmējam un sadarbības partnerim ir pienākums atmaksāt sadarbības iestādei visu projekta ietvaros saņemto </w:t>
            </w:r>
            <w:r w:rsidR="00000000" w:rsidRPr="00000000" w:rsidDel="00000000">
              <w:rPr>
                <w:i w:val="1"/>
                <w:rtl w:val="0"/>
              </w:rPr>
              <w:t xml:space="preserve">de minimis</w:t>
            </w:r>
            <w:r w:rsidR="00000000" w:rsidRPr="00000000" w:rsidDel="00000000">
              <w:rPr>
                <w:rtl w:val="0"/>
              </w:rPr>
              <w:t xml:space="preserve"> atbalstu. Atmaksu veic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tiesu judikatūrai atbilstošu pienākumu atgūt nelikumīgo komercdarbības atbalstu, aicinām noteikumu projekta 69. punktu sadalīt divos atsevišķos punktus,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tiek pārkāpti regulas Nr. 651/2014 nosacījumi, vai tiek pārkāpti komercdarbības atbalsta piešķiršanas nosacījumi vispārējas tautsaimnieciskas nozīmes pakalpojumu sniegšanai, finansējuma saņēmējam un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Ja tiek pārkāpti regulas Nr. 1407/2013 nosacījumi, finansējuma saņēmējam un sadarbības partnerim ir pienākums atmaksāt sadarbības iestādei visu projekta ietvaros saņemto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13.09.2023.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13.09.2023.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