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pirmās daļas 19. punktu šādā redakcijā "19) secinājumi par labākajiem pieejamiem tehniskajiem paņēmieniem — rūpniecības nozarei vai piesārņojošai darbībai Eiropas Komisijas noteikto labāko pieejamo tehnisko paņēmienu un jaunāko tehnisko paņēmienu apraksts, kā arī ar minētajiem pieejamiem tehniskajiem paņēmieniem saistītie emisiju līmeņi, vides snieguma līmeņi, vides pārvaldības sistēmas saturs, etaloni, izejvielu patēriņa līmeņi, piesārņojošas darbības uzraudzība un uz piesārņojošu darbību attiecināmi vietas sanācijas pasākumi;"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likumprojektu ar direktīvā sniegtā termina "etaloni" skaidrojumu vai skaidrot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"11) nodrošina materiālo resursu un ūdens efektīvu izmantošanu, tostarp veicina to atkalizmantošanu, ja tas ir tehniski un ekonomiski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 direktīvas norma neparedz nosacījumu "ja tas ir tehniski un ekonomiski iespējams", tādēļ lūdzam to izslēgt vai skaidrot atbilstību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Valsts sabiedrība ar ierobežotu atbildību "Latvijas Vides, ģeoloģijas un meteoroloģijas centrs" (turpmāk - Centrs) reizi piecos gados veic gaisa kvalitātes novērtējumu šā panta otrajā daļā noteiktajās gaisa kvalitātes pārvaldības teritorijās vai biežāk, ja ir notikušas būtiskas gaisa piesārņojuma līmeņa izmaiņas. Pamatojoties uz veikto novērtējumu, Centrs nepieciešamības gadījumā rosina Klimata un enerģētikas ministrijai veikt izmaiņas esošajā gaisa kvalitātes pārvaldības teritoriju iedalījumā.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 direktīvas vienībā norādīts uz to, ka būtiski mainās darbības, kas ietekmē vairāku vielu koncentrāciju gaisā, nevis gaisa piesārņojuma līmeņa izmaiņas, tādēļ lūdzam izvērtēt un atbilstoši normu precizēt, norādot arī uz būtiskām darbības izmaiņām, vai sniegt pamatotu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Klimata un enerģētikas ministrija viena mēneša laikā no Centra sagatavotā gaisa kvalitātes novērtējuma publiskošanas savā oficiālajā tīmekļvietnē veic izmaiņas šī panta otrajā daļā minētajā lēmumā, ja atbilstoši Centra veiktajam gaisa kvalitātes novērtējumam konstatētas būtiskas gaisa kvalitātes izmaiņas kādā Latvijas teritorijas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paredzētā likuma “Par piesārņojumu” (turpmāk – likums) 11.</w:t>
            </w:r>
            <w:r w:rsidR="00000000" w:rsidRPr="00000000" w:rsidDel="00000000">
              <w:rPr>
                <w:vertAlign w:val="superscript"/>
                <w:rtl w:val="0"/>
              </w:rPr>
              <w:t xml:space="preserve">1</w:t>
            </w:r>
            <w:r w:rsidR="00000000" w:rsidRPr="00000000" w:rsidDel="00000000">
              <w:rPr>
                <w:rtl w:val="0"/>
              </w:rPr>
              <w:t xml:space="preserve"> panta piekto daļu nepieciešams savstarpēji saskaņot ar šī panta otro daļu. Vēršam uzmanību, ka viena veida dokumentam, tai skaitā tā grozījumiem, jābūt vienam izdevējam, bet savukārt lēmumam - vienam tā pieņēmējam. Ja lēmumu pieņem ministrs, attiecīgi arī lēmumu par grozījumu izdarīšanu jāpieņem ministram, nevis ministrijai. Ministrija var tehniski sagatavot lēmuma grozījumus, bet šādas darbības jānosaka ar iekšējiem normatīvajiem aktiem, nevis likumu. Līdzīgi nepieciešams precizēt likumprojekta 8. pantā paredzētā likuma 11.</w:t>
            </w:r>
            <w:r w:rsidR="00000000" w:rsidRPr="00000000" w:rsidDel="00000000">
              <w:rPr>
                <w:vertAlign w:val="superscript"/>
                <w:rtl w:val="0"/>
              </w:rPr>
              <w:t xml:space="preserve">9</w:t>
            </w:r>
            <w:r w:rsidR="00000000" w:rsidRPr="00000000" w:rsidDel="00000000">
              <w:rPr>
                <w:rtl w:val="0"/>
              </w:rPr>
              <w:t xml:space="preserve"> panta trešo daļu, proti, par Ministru kabinetā apstiprināta plāna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Ministru kabinets nosaka novērtējamās gaisu piesārņojošās vielas, gaisa kvalitātes novērtēšanas paņēmienus un mērījumu metodes, novērtējuma veikšanas biežumu, prasības par gaisa kvalitātes monitoringa staciju skaitu, to atrašanās vietu izvēli, kā arī citas prasības, kas jāievēro veicot gaisa kvalitātes novērtēšanu un apkopojot iegūtos mērījumu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likumprojektā vai tā anotācijā skaidrot, kādas vēl citas prasības jāievēro (nepieciešamības gadījumā - piemērveidā).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mērījumu precizitātes nodrošināšanu;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arī uzdevums: "un mērījumu datu pārsūtīšanas un kopīgošanas nodrošināšanu", kura pārņemšanu lūdzam nodrošināt, vai skaidrot, kā konkrētais uzdevums ir pārņemts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kārtību, kādā izveido un uztur valsts kopējo gaisu piesārņojošo vielu emisijas aprēķinu un prognožu sagatavošanas nacionālo sistēmu un atbildīgo iestāžu pienākumus emisiju ziņojumu un prognožu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normā un arī cituviet likumprojektā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paredzēts pilnvarojums noteikt "kārtību, kādā izveido un uztur valsts kopējo gaisu piesārņojošo vielu emisijas aprēķinu un prognožu sagatavošanas nacionālo sistēmu un atbildīgo iestāžu pienākumus emisiju ziņojumu un prognožu izstrādē".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nepieciešamības gadījumā papildināt attiecīgo pilnvarojumu. Līdzīgi lūdzam izvērtēt likuma 11.</w:t>
            </w:r>
            <w:r w:rsidR="00000000" w:rsidRPr="00000000" w:rsidDel="00000000">
              <w:rPr>
                <w:vertAlign w:val="superscript"/>
                <w:rtl w:val="0"/>
              </w:rPr>
              <w:t xml:space="preserve">9</w:t>
            </w:r>
            <w:r w:rsidR="00000000" w:rsidRPr="00000000" w:rsidDel="00000000">
              <w:rPr>
                <w:rtl w:val="0"/>
              </w:rPr>
              <w:t xml:space="preserve"> panta sestajā daļā, likumprojekta 25. pantā u.c. tamlīdzīgus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Valsts līmeņa gaisa piesārņojuma samazināšanas plāns ir plāns, kurā paredzētas rīcībpolitikas un pasākumi, lai nodrošinātu atbilstību 11.</w:t>
            </w:r>
            <w:r w:rsidR="00000000" w:rsidRPr="00000000" w:rsidDel="00000000">
              <w:rPr>
                <w:vertAlign w:val="superscript"/>
                <w:rtl w:val="0"/>
              </w:rPr>
              <w:t xml:space="preserve">6</w:t>
            </w:r>
            <w:r w:rsidR="00000000" w:rsidRPr="00000000" w:rsidDel="00000000">
              <w:rPr>
                <w:rtl w:val="0"/>
              </w:rPr>
              <w:t xml:space="preserve"> pantā noteiktajiem gaisa piesārņojuma samazināšanas mērķiem, vidējās iedarbības samazināšanas pienākumiem un ozona mērķlielumam, līdzko minētās vērtības ir pārsniegtas.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normu papildināt ar attiecīgā plāna izstrādes termiņu vai skaidrot likumprojekta anotācijas 5. sadaļā, ka tas tiks noteikts Ministru kabineta noteikumos. Vēršam uzmanību, ka atbilstoši korespondējošajai direktīvas normai: "Minētos gaisa kvalitātes plānus izstrādā cik vien drīz iespējams un ne vēlāk kā divus gadus pēc kalendārā gada, kurā reģistrēts vidējās ekspozīcijas samazināšanas pienākuma pārsniegums."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Šajā pantā noteikto prasību izpildes kontroli veic pašvaldības vides kontroles amatpersona vai pašvaldības policija</w:t>
            </w:r>
            <w:r w:rsidR="00000000" w:rsidRPr="00000000" w:rsidDel="00000000">
              <w:rPr>
                <w:color w:val="#3498db"/>
                <w:rtl w:val="0"/>
              </w:rPr>
              <w:t xml:space="preserve">. </w:t>
            </w:r>
            <w:r w:rsidR="00000000" w:rsidRPr="00000000" w:rsidDel="00000000">
              <w:rPr>
                <w:rtl w:val="0"/>
              </w:rPr>
              <w:t xml:space="preserve">Pašvaldība saistošajos noteikumos nosaka kārtību, kādā tiek veikta apkures iekārtu kontrole un pilnvaro kompetento pašvaldības institūciju, kura ir atbildīga par saistošajos noteikumos noteikto prasību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Pieļaujamie kontroles pasākumi ir regulējami likumā. Izvērtējama pilnvarojuma pašvaldībām nepieciešamība un tā iespējamais saturs, ietverot attiecīgu skaidrojumu arī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grozāmā likuma 11.</w:t>
            </w:r>
            <w:r w:rsidR="00000000" w:rsidRPr="00000000" w:rsidDel="00000000">
              <w:rPr>
                <w:vertAlign w:val="superscript"/>
                <w:rtl w:val="0"/>
              </w:rPr>
              <w:t xml:space="preserve">13</w:t>
            </w:r>
            <w:r w:rsidR="00000000" w:rsidRPr="00000000" w:rsidDel="00000000">
              <w:rPr>
                <w:rtl w:val="0"/>
              </w:rPr>
              <w:t xml:space="preserve"> panta otrajā daļā ir ietverts pilnvarojums pašvaldībām noteikt kārtību, kādā tiek veikta apkures iekārtu kontrole. Ne likumprojekts, ne anotācija neatklāj, kādi tieši jautājumi būtu regulējami šajos saistošajos noteikumos. Neskatoties uz to, ka pilnvarojumā ir lietots vārds "kārtība" (procesuāli jautājumi), pastāv būtisks risks, ka saistošajos noteikumos varētu ietvert neatbilstošu regulējumu un projekts arī nesatur nekādas vadlīnijas, kā īstenot pilnvarojumu un kāds ir tā saturs. Piemēram, pašvaldību saistošajos noteikumos nebūtu regulējami pieļaujamie kontroles pasākumi. Tie ir likuma jautājums. Minētā panta trešajā daļā jau ir paredzētas atsevišķas institūcijas tiesības. Tomēr skaidrojums projekta anotācijā rada šaubas, vai ir pietiekami izvērtēts pieļaujamais institūcijas tiesību loks, it īpaši ievērojot saikni ar iespējamo administratīvo atbildību. Projekta anotācijā ir, piemēram, norādīts, ka ir tiesības izdot lēmumu, kas uzliek pienākumu samaksāt sodoša rakstura maksājumu. Šādas tiesības kontroles laikā vai administratīvajā procesā kā tādā nav pieļaujamas. Tāpat, piemēram, nebūtu pieļaujams iekļūt personas īpašumā piespiedu kārtā (resp., ja persona tam nepiekrīt) vai attālināti pārbaudīt personas īpašumā esošas iekārtas u.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izvērtējams un precizējams likumprojektā paredzētais pilnvarojums, kā arī ietverams pienācīgs un argumentēts skaidrojums likumprojekta anotācijā, tostarp likumprojekta anotācijas 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 (Liene Linde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Zemo emisiju zonas un bezemisiju zonas administrēšanas un transportlīdzekļu iebraukšanas kontroles nodrošināšanai pašvaldība bez maksas var  izmantot datus no šādām valsts un pašvaldības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norādot par kādām datu subjektu kategorijām un kādas datu kategorijas pašvaldības varēs saņemt no noteiktajām informācijas sistēmām, anotācijā sniedzot detalizētāku skaidrojumu par šo datu apstrādes nolūku (kas pamatotu nepieciešamību saņemt noteiktās datu kategorijas no noteiktajām informācijas sistēmām), kā arī pamatojumu par plānotās personas datu apstrādes samērīgumu. Paskaidrojam, ka likumprojekta normas, paredzot pašvaldības tiesības saņemt informāciju no dažādām informācijas sistēmām, jo īpaši no Invaliditātes informatīvās sistēmas, rada dziļu iejaukšanos personas pamattiesībās. Tādējādi šādā gadījumā apstrādes nosacījumi kā personas datu apstrādes nolūks, apstrādājamo datu kategorijas un kādu kategoriju datu subjektu datus plānots apstrādāt, būtu nosakāmi likumā. Minētais pamatojams ar apstākli, ka tikai likumdevējs ir tiesīgs izvērtēt iejaukšanās personas pamattiesībās nepieciešamību, apstrādājamo datu apjomu un uz ko šis ierobežojums attieksies. Tāpat, ņemot vērā Valsts kancelejas 2021. gada vadlīnijās sākotnējās ietekmes novērtēšanai un novērtējuma ziņojuma sagatavošanai vienotajā tiesību aktu izstrādes un saskaņošanas portālā noteikto attiecībā uz datu aizsardzību (54.-55.lpp.), gadījumā, kad ir plānota personas datu apstrāde, tas ir uzskatāms par personas pamattiesību aizskārumu, ir arī vērtējams šāda ierobežojuma samērīgums ar sasniedzamo mērķi. Papildinot minēto, norādāms, lai noskaidrotu, vai ierobežojums ir nepieciešams demokrātiskā sabiedrībā, ir jāvērtē vai ierobežojums ir sociāli nepieciešams un samērīgs. 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23.punktu). Ņemot vērā minēto, likumprojekts ir precizējams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Pašvaldība, izstrādājot teritorijas plānojumu, ņem vērā gaisa kvalitātes normatīvus, kā arī kompetento valsts iestāžu sniegto informāciju un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normā precīzāk norādīt, kādu kompetento valsts iestāžu sniegā informācija un nosacījumi jāņem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(4) Potenciālais deleģējuma līguma slēdzējs iesniedz izvērtēšanai Klimata un enerģētikas ministrijā rakstveida pieteikumu deleģējuma līguma slēgšanai. Ar potenciālo deleģējuma līguma slēdzēju, kuru Klimata un enerģētikas ministrija izraudzījusi, deleģējuma līgumu slēdz ne ilgāk kā uz pieciem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likuma 18.</w:t>
            </w:r>
            <w:r w:rsidR="00000000" w:rsidRPr="00000000" w:rsidDel="00000000">
              <w:rPr>
                <w:vertAlign w:val="superscript"/>
                <w:rtl w:val="0"/>
              </w:rPr>
              <w:t xml:space="preserve">3</w:t>
            </w:r>
            <w:r w:rsidR="00000000" w:rsidRPr="00000000" w:rsidDel="00000000">
              <w:rPr>
                <w:rtl w:val="0"/>
              </w:rPr>
              <w:t xml:space="preserve"> panta ceturto daļu, nedublējot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(6) Izdevumus, kas saistīti ar motora tipa apstiprināšanu vai kas saistīti ar grozījumu apstiprināšanu motora tipa informācijas dokumentā, sedz motora tipa apstiprinājuma vai tā grozījumu pieteicējs (ražotājs), kas iesniedzis dokumentus apstiprinātājiestādei.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norādes "kas iesniedzis dokumentus apstiprinātājiestādei" lietderību un izslēgt to kā liekvārdību, ja nav kāds cits subjekts, kas var iesniegt attiecīgos dokumentus pieteicēja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skaidrojot normas likumprojekta 10., 17., 24., 25. pantā u.c., kur attiecīgs skaidrojums nav sniegts, ietvertā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papildināt pirmās daļas 7. punktu aiz vārdiem "gāzu emisijas atļaujas nosacījumus" ar vārdiem  "kā arī var nepiemērot šā panta pirmās daļas 1.</w:t>
            </w:r>
            <w:r w:rsidR="00000000" w:rsidRPr="00000000" w:rsidDel="00000000">
              <w:rPr>
                <w:vertAlign w:val="superscript"/>
                <w:rtl w:val="0"/>
              </w:rPr>
              <w:t xml:space="preserve">1</w:t>
            </w:r>
            <w:r w:rsidR="00000000" w:rsidRPr="00000000" w:rsidDel="00000000">
              <w:rPr>
                <w:rtl w:val="0"/>
              </w:rPr>
              <w:t xml:space="preserve"> punkta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nodrošinot juridiskās tehnikas prasībām atbilstošu regulējumu. Ja pirmās daļas 1.</w:t>
            </w:r>
            <w:r w:rsidR="00000000" w:rsidRPr="00000000" w:rsidDel="00000000">
              <w:rPr>
                <w:vertAlign w:val="superscript"/>
                <w:rtl w:val="0"/>
              </w:rPr>
              <w:t xml:space="preserve">1</w:t>
            </w:r>
            <w:r w:rsidR="00000000" w:rsidRPr="00000000" w:rsidDel="00000000">
              <w:rPr>
                <w:rtl w:val="0"/>
              </w:rPr>
              <w:t xml:space="preserve"> punkta nosacījumus var nepiemērot līdztekus prasībām attiecībā uz iekārtas energoefektivitāti, tad ierosinām papildinājumu ietvert pirmās daļas 7. punkta ievadā vai citādi redakcionāli precizēt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"(7</w:t>
            </w:r>
            <w:r w:rsidR="00000000" w:rsidRPr="00000000" w:rsidDel="00000000">
              <w:rPr>
                <w:vertAlign w:val="superscript"/>
                <w:rtl w:val="0"/>
              </w:rPr>
              <w:t xml:space="preserve">1</w:t>
            </w:r>
            <w:r w:rsidR="00000000" w:rsidRPr="00000000" w:rsidDel="00000000">
              <w:rPr>
                <w:rtl w:val="0"/>
              </w:rPr>
              <w:t xml:space="preserve">) Atkāpjoties no šā likuma 32.panta trešās daļas otrā punkta, ja Eiropas Komisija ir pieņēmusi jaunus pieejamos tehniskos paņēmienus, kas ir ietverti secinājumos par labākajiem pieejamiem tehniskajiem paņēmieniem un operators tos ievieš, Valsts vides dienests var noteikt emisiju robežvērtības, kas nepārsniedz ar jauniem tehniskajiem paņēmieniem saistītos emisiju līmeņus (emisijas līmenis, kas sasniegts normālos objekta ekspluatācijas apstākļos, izteikts kā vidējais rādītājs konkrētā laika periodā un konkrētos references apstākļos) vai saistošos vides snieguma līmeņus (vides snieguma diapazons, kas sasniegts normālos iekārtas ekspluatācijas apstākļos), izmantojot jaunus pieejamos tehniskos paņēmienus, kas ir ietverti secinājumos par labākajiem pieejamiem tehniskajiem paņēmieniem sešu gadu laikā no secinājumu publicēšanas dienas izdevumā "Eiropas Savienības Oficiālais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attiecīgo secinājumu par labākajiem tehniskajiem paņēmieniem ietverto prasību saistošo spēku un pieejamību privātpersonām. Ja secinājumi ietverti dalībvalstīm adresētos Eiropas Komisijas lēmumos, lūdzam nodrošināt minēto lēmumu prasību, kas attiecas uz privātpersonām, pārņemšanu nacionālajā tiesību sistēmā, precizējot likumprojektā ietverto regulējumu un izslēdzot likumprojektā atsauces uz minētajiem secinājumiem, vai atsevišķā normā nodrošinot secinājumu attiecīgu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w:t>
            </w:r>
            <w:r w:rsidR="00000000" w:rsidRPr="00000000" w:rsidDel="00000000">
              <w:rPr>
                <w:b w:val="1"/>
                <w:rtl w:val="0"/>
              </w:rPr>
              <w:t xml:space="preserve">V</w:t>
            </w:r>
            <w:r w:rsidR="00000000" w:rsidRPr="00000000" w:rsidDel="00000000">
              <w:rPr>
                <w:b w:val="1"/>
                <w:vertAlign w:val="superscript"/>
                <w:rtl w:val="0"/>
              </w:rPr>
              <w:t xml:space="preserve">5</w:t>
            </w:r>
            <w:r w:rsidR="00000000" w:rsidRPr="00000000" w:rsidDel="00000000">
              <w:rPr>
                <w:b w:val="1"/>
                <w:rtl w:val="0"/>
              </w:rPr>
              <w:t xml:space="preserve"> nodaļa</w:t>
            </w:r>
            <w:r w:rsidR="00000000" w:rsidRPr="00000000" w:rsidDel="00000000">
              <w:rPr>
                <w:b w:val="1"/>
                <w:rtl w:val="0"/>
              </w:rPr>
              <w:t xml:space="preserve">Projektu iesniedzēju un atbalsta saņēmēju atbilstības un datu apstrādes nosacījumi klimata finanšu instrumentu projektu iesniegumu konkursos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pamatot nepieciešamību projektu iesniedzēju un atbalsta saņēmēju atbilstības un datu apstrādes nosacījumus klimata finanšu instrumentu projektu iesniegumu konkursos, kas faktiski ir regulēti Klimatnoturības un ekonomiskās ilgtspējas likumā, regulēt likumā. Ja atbilstošu pamatojumu nav iespējams sniegt, lūdzam nolūkā izvairīties no sadrumstalota un nepārskatāma tiesiskā regulējuma attiecīgo jautājumu noregulēt Klimatnoturības un ekonomiskās ilgtspējas likumā, kā arī lēmuma projektā paredzēt Ministru kabineta 2026. gada 21. aprīļa sēdes protokola Nr. 22 43. § 4. punkta atzīšanu par aktualitāti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(2) Privātpersonai vai citai publiskai personai, kam normatīvajos aktos noteiktajā kārtībā tiek deleģēti ar klimata finanšu instrumentu īstenošanu saistītie valsts pārvaldes uzdevumi, ir tiesības pieprasīt un saņemt tiešu pieeju datiem valsts informācijas sistēmās tādā apjomā, kāds nepieciešams deleģēto valsts pārvaldes uzdevumu izpildei klimata finanšu instrumentu īstenošanas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datu, tajā skaitā fizisko personu datu, pieprasīšanas un saņemšanas nolūku no valsts informācijas sistēmām, anotācijā sniedzot pamatojumu, vai plānotā personas datu apstrāde ir samērīga. Paskaidrojam, ka datu pieprasīšanas un saņemšanas nolūks ir formulējams tā, lai no tā būtu pietiekami skaidri saprotams, kādēļ ir nepieciešama datu apstrāde un, ka bez šīs apstrādes nolūku nav iespējas sasniegt. Turklāt nolūks ir nosakāms tā, lai datu subjektam būtu skaidrs, kādēļ tā dati tiks apstrādāti tieši tādā apjomā un tieši tādā noteiktā veidā. Skaidra un konkrēta datu apstrādes nolūka noteikšana ir nozīmīga, lai varētu izvērtēt, vai personas datu apstrāde notiek atbilstoši Vispārīgās datu aizsardzības regulas prasībām, piemēram, vai tā ir atbilstoša personas datu apstrādes minimizācijas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(3) Privātpersonai vai citai publiskai personai, kam normatīvajos aktos par klimata finanšu instrumentu vadību un īstenošanu noteiktajā kārtībā tiek deleģēti ar klimata finanšu instrumentu īstenošanu saistītie valsts pārvaldes uzdevumi, ir tiesības pieprasīt un saņemt no finansējuma saņēmēja informāciju, kas nepieciešama tai deleģēto valsts pārvaldes uzdevumu izpildei klimata finanšu instrumentu īstenošanas nodrošināšanai, tostarp saņemt, apstrādāt un uzglabāt fizisko personu datus saskaņā ar Eiropas Parlamenta un Padomes 2016. gada 27. aprīļa regulu (ES) 2016/679 par fizisku personu aizsardzību attiecībā uz personas datu apstrādi un šādu datu brīvu apriti un ar ko atceļ direktīvu 95/46/EK."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datu, tajā skaitā fizisko personu datu, pieprasīšanas un saņemšanas nolūku no finansējuma saņēmēja, anotācijā sniedzot pamatojumu, vai plānotā personas datu apstrāde ir samērīga. Paskaidrojam, ka datu pieprasīšanas un saņemšanas nolūks ir formulējams tā, lai no tā būtu pietiekami skaidri saprotams, kādēļ ir nepieciešama datu apstrāde un, ka bez šīs apstrādes nolūku nav iespējas sasniegt. Turklāt nolūks ir nosakāms tā, lai datu subjektam būtu skaidrs, kādēļ tā dati tiks apstrādāti tieši tādā apjomā un tieši tādā noteiktā veidā. Skaidra un konkrēta datu apstrādes nolūka noteikšana ir nozīmīga, lai varētu izvērtēt, vai personas datu apstrāde notiek atbilstoši Vispārīgās datu aizsardzības regulas prasībām, piemēram, vai tā ir atbilstoša personas datu apstrādes minimizācijas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(3) Privātpersonai vai citai publiskai personai, kam normatīvajos aktos par klimata finanšu instrumentu vadību un īstenošanu noteiktajā kārtībā tiek deleģēti ar klimata finanšu instrumentu īstenošanu saistītie valsts pārvaldes uzdevumi, ir tiesības pieprasīt un saņemt no finansējuma saņēmēja informāciju, kas nepieciešama tai deleģēto valsts pārvaldes uzdevumu izpildei klimata finanšu instrumentu īstenošanas nodrošināšanai, tostarp saņemt, apstrādāt un uzglabāt fizisko personu datus saskaņā ar Eiropas Parlamenta un Padomes 2016. gada 27. aprīļa regulu (ES) 2016/679 par fizisku personu aizsardzību attiecībā uz personas datu apstrādi un šādu datu brīvu apriti un ar ko atceļ direktīvu 95/46/EK."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norādi par to, ka personai ar likumprojektu tiek noteiktas tiesības apstrādāt personas datus saskaņā ar Eiropas Parlamenta un Padomes 2016. gada 27. aprīļa regulu (ES) 2016/679 par fizisku personu aizsardzību attiecībā uz personas datu apstrādi un šādu datu brīvu apriti un ar ko atceļ direktīvu 95/46/EK, ņemot vērā, ka tā ir uzskatāma par deklaratīvu normu un personai ir saistošas minētās regulas prasības neatkarīgi no tā, vai tas papildu tiek noteikts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pants. "(11) Administratīvā procesa likumā minētā privātpersona var apstrīdēt Centra organizēto valsts monitoringa tīklā esošo gaisa kvalitātes paraugu ņemšanas punktu izvietojumu un uzstādīto paraugu ņemšanas punktu skaitu, kā arī šā likuma 11.</w:t>
            </w:r>
            <w:r w:rsidR="00000000" w:rsidRPr="00000000" w:rsidDel="00000000">
              <w:rPr>
                <w:vertAlign w:val="subscript"/>
                <w:rtl w:val="0"/>
              </w:rPr>
              <w:t xml:space="preserve">1</w:t>
            </w:r>
            <w:r w:rsidR="00000000" w:rsidRPr="00000000" w:rsidDel="00000000">
              <w:rPr>
                <w:rtl w:val="0"/>
              </w:rPr>
              <w:t xml:space="preserve"> panta otrajā daļā Klimata un enerģētikas ministra izdoto lēmumu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35. pantā paredzētā likuma 50. panta vienpadsmito un divpadsmito daļu par administratīvo aktu apstrīdēšanu nepieciešams precizēt atbilstoši Administratīvā procesa likumā (turpmāk – APL) noteiktajam regulējumam. Panta vienpadsmitajā daļā paredzēto centra un ministra izdoto administratīvo aktu apstrīdēšanas un pārsūdzēšanas kārtību nepieciešams nodalīt ar atsevišķiem teikumiem vai pat atsevišķās panta daļās, proti, centra lēmumu pārsūdzēšanai jāparedz parastā kārtība, kad sākotnējais lēmums tiek apstrīdēts augstākā iestādē, bet augstākās iestādes lēmums tiek pārsūdzēts tiesā. Savukārt ministra lēmumam var paredzēt pārsūdzēšanu tiesā. Vienlaikus piedāvājam normās neizmantot vārdus “Administratīvā procesa likumā minētā privātpersona …”, jo APL 24. pants paredz administratīvā procesa dalībniekus, kas var arī nebūt privātpersona. Savukārt panta divpadsmitajā daļā paredzēto regulējumu piedāvājam no projekta izslēgt. Vēršam uzmanību, ka APL noteikto tiesisko regulējumu par administratīvo aktu apstrīdēšanu “visiem tādiem lēmumiem” arī ar speciālo likuma normu nevar aprobežot, proti, likumā noteikt apstrīdēšanu un pārsūdzēšanu dažādiem konkrētiem lēmumiem, jo demokrātiskā un tiesiskā valstī tiesiskuma pārbaudei ir pakļauts jebkurš valsts pārvaldes izdots administratīvais akts. Turklāt katrā konkrētā gadījumā apstrīdēšanas nepieciešams lemt par lēmuma apstrīdēšanas apjomu (APL 78.panta pirmās daļas 2.punkts). Vienlaicīgi norādām, ka likumprojektā paredzētie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pants un projekta anotācijā esošais skaidrojums nesniedz nepārprotamu norādi par to, valsts līmeņa gaisa piesārņojuma samazināšanas plāns, pašvaldības ilgtermiņa gaisa kvalitātes plāns un pašvaldības īstermiņa gaisa kvalitātes plāns būs administratīvie akti, kas pakļauti APL noteiktajai tiesiskuma pārbaudei, jo Ministru kabineta attīstības plānošanas tiesību akti vai pašvaldību saistošie noteikumi nav piekritīgi administratīvās tiesas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w:t>
            </w:r>
            <w:r w:rsidR="00000000" w:rsidRPr="00000000" w:rsidDel="00000000">
              <w:rPr>
                <w:b w:val="1"/>
                <w:rtl w:val="0"/>
              </w:rPr>
              <w:t xml:space="preserve">51.</w:t>
            </w:r>
            <w:r w:rsidR="00000000" w:rsidRPr="00000000" w:rsidDel="00000000">
              <w:rPr>
                <w:b w:val="1"/>
                <w:vertAlign w:val="superscript"/>
                <w:rtl w:val="0"/>
              </w:rPr>
              <w:t xml:space="preserve">1 </w:t>
            </w:r>
            <w:r w:rsidR="00000000" w:rsidRPr="00000000" w:rsidDel="00000000">
              <w:rPr>
                <w:b w:val="1"/>
                <w:rtl w:val="0"/>
              </w:rPr>
              <w:t xml:space="preserve">pants. Kompensācija par  A kategorijas piesārņojošo darbību radīto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 pantā paredzētā likuma 51.</w:t>
            </w:r>
            <w:r w:rsidR="00000000" w:rsidRPr="00000000" w:rsidDel="00000000">
              <w:rPr>
                <w:vertAlign w:val="superscript"/>
                <w:rtl w:val="0"/>
              </w:rPr>
              <w:t xml:space="preserve">1</w:t>
            </w:r>
            <w:r w:rsidR="00000000" w:rsidRPr="00000000" w:rsidDel="00000000">
              <w:rPr>
                <w:rtl w:val="0"/>
              </w:rPr>
              <w:t xml:space="preserve"> panta astotā un devītā daļa paredz privātpersonas tiesības pieprasīt kompensāciju par veselībai nodarīto kaitējumu un A kategorijas piesārņojošas darbības operatora pienākumu triju mēnešu laikā no pieprasījuma saņemšanas dienas šo kompensāciju izmaksāt. Vienlaikus likumprojektā nav noteikts, kā nosakāms kompensācijas apmērs un kādi kritēriji izmantojami tā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kompensācijas apmēru par veselībai nodarīto kaitējumu privātpersona nosaka pati, kā arī norādīts, ka gadījumā, ja A kategorijas piesārņojošas darbības operators kompensāciju neizmaksā, privātpersona var vērsties tiesā ar prasību par veselībai nodarītā kaitējuma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skaidrot likuma 51.</w:t>
            </w:r>
            <w:r w:rsidR="00000000" w:rsidRPr="00000000" w:rsidDel="00000000">
              <w:rPr>
                <w:vertAlign w:val="superscript"/>
                <w:rtl w:val="0"/>
              </w:rPr>
              <w:t xml:space="preserve">1</w:t>
            </w:r>
            <w:r w:rsidR="00000000" w:rsidRPr="00000000" w:rsidDel="00000000">
              <w:rPr>
                <w:rtl w:val="0"/>
              </w:rPr>
              <w:t xml:space="preserve"> pantā paredzēto regulējumu, proti, to kā būtu nosakāms kompensācijas apmērs, kādi principi un kritēriji piemērojami to darot.  Kā arī lūdzam anotācijā skaidrot rīcību gadījumā, ja A kategorijas piesārņojošas darbības operators nepiekrīt privātpersonas pieprasītajam kompensācijas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precizēt, vai likuma 51.</w:t>
            </w:r>
            <w:r w:rsidR="00000000" w:rsidRPr="00000000" w:rsidDel="00000000">
              <w:rPr>
                <w:vertAlign w:val="superscript"/>
                <w:rtl w:val="0"/>
              </w:rPr>
              <w:t xml:space="preserve">1 </w:t>
            </w:r>
            <w:r w:rsidR="00000000" w:rsidRPr="00000000" w:rsidDel="00000000">
              <w:rPr>
                <w:rtl w:val="0"/>
              </w:rPr>
              <w:t xml:space="preserve">pantā paredzētā kompensācija pēc savas civiltiesiskās būtības ir atlīdzība par mantiskajiem zaudējumiem, morālo kaitējumu vai ietver abus minētos atlīdzinājuma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(8) Privātpersonai ir tiesības 24 mēnešu laikā no privātpersonai pozitīva Universitātes slimnīcas lēmuma spēkā stāšanās pieprasīt kompensāciju no A kategorijas piesārņojošas darbības operatora.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 pantā paredzētā likuma 51.</w:t>
            </w:r>
            <w:r w:rsidR="00000000" w:rsidRPr="00000000" w:rsidDel="00000000">
              <w:rPr>
                <w:vertAlign w:val="superscript"/>
                <w:rtl w:val="0"/>
              </w:rPr>
              <w:t xml:space="preserve">1</w:t>
            </w:r>
            <w:r w:rsidR="00000000" w:rsidRPr="00000000" w:rsidDel="00000000">
              <w:rPr>
                <w:rtl w:val="0"/>
              </w:rPr>
              <w:t xml:space="preserve"> panta astotā daļa paredz, ka privātpersonai ir tiesības 24 mēnešu laikā no valsts sabiedrības ar ierobežotu atbildību "Paula Stradiņa klīniskā universitātes slimnīca" pozitīva lēmuma spēkā stāšanās dienas pieprasīt kompensāciju no A kategorijas piesārņojošas darbības operatora.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1895. pants noteic, ka saistību tiesības, kuru izlietošanai likumā nav noteikts īsāks termiņš, izbeidzas, ja tiesīgā persona tās neizlieto desmit gadu laikā. Ievērojot minēti, lūdzam anotācijā sniegt detalizētāku pamatojumu 24 mēnešu termiņa izvēlei, tostarp pamatojot tā nepieciešamību un samērīgumu attiecībā uz Civillikumā noteikto noilguma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(1) Ikviena persona, kurai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un 11.</w:t>
            </w:r>
            <w:r w:rsidR="00000000" w:rsidRPr="00000000" w:rsidDel="00000000">
              <w:rPr>
                <w:vertAlign w:val="superscript"/>
                <w:rtl w:val="0"/>
              </w:rPr>
              <w:t xml:space="preserve">11</w:t>
            </w:r>
            <w:r w:rsidR="00000000" w:rsidRPr="00000000" w:rsidDel="00000000">
              <w:rPr>
                <w:rtl w:val="0"/>
              </w:rPr>
              <w:t xml:space="preserve"> pantā vai gaisa kvalitāti regulējošajos normatīvajos aktos noteikto prasību attiecībā uz gaisa kvalitātes plānu izstrādi vai īstenošanu neievērošanas dēļ radīts kaitējums veselībai, var Administratīvā procesa likumā noteiktajā kārtībā prasīt tiesā atlīdzinājumu par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 pantā paredzēto likuma 51.</w:t>
            </w:r>
            <w:r w:rsidR="00000000" w:rsidRPr="00000000" w:rsidDel="00000000">
              <w:rPr>
                <w:vertAlign w:val="superscript"/>
                <w:rtl w:val="0"/>
              </w:rPr>
              <w:t xml:space="preserve">2</w:t>
            </w:r>
            <w:r w:rsidR="00000000" w:rsidRPr="00000000" w:rsidDel="00000000">
              <w:rPr>
                <w:rtl w:val="0"/>
              </w:rPr>
              <w:t xml:space="preserve"> pantu par veselībai nodarītā kaitējuma kompensāciju APL noteiktajā kārtībā nepieciešams izslēgt. Vēršam uzmanību, ka APL noteiktajā kārtībā zaudējumu atlīdzība un kompensācija tiek prasīta no valsts pārvaldes, bet likumprojekts un tā anotācija neparedz šādas valsts pārvaldes atbildības konstatēšanu. Ja kompensācija tiks prasīta no piesārņojošas darbības operatora, likumprojektā paredzētais likuma 51.</w:t>
            </w:r>
            <w:r w:rsidR="00000000" w:rsidRPr="00000000" w:rsidDel="00000000">
              <w:rPr>
                <w:vertAlign w:val="superscript"/>
                <w:rtl w:val="0"/>
              </w:rPr>
              <w:t xml:space="preserve">1</w:t>
            </w:r>
            <w:r w:rsidR="00000000" w:rsidRPr="00000000" w:rsidDel="00000000">
              <w:rPr>
                <w:rtl w:val="0"/>
              </w:rPr>
              <w:t xml:space="preserve"> panta regulējums kompensācijas pieprasīšanas civiltiesisko kārtību jāizsaka par dažādām kategorijām, un tas būs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pants. Aizstāt 62.panta sestajā daļā vārdus "no simt četrdesmit līdz astoņsimt sešdesmit naudas soda vienībām" ar vārdiem "trīs procentus no tās iepriekšējā pārskata gada apgrozījuma".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paredzēts juridiskai personai noteikto naudas sodu no simt četrdesmit līdz astoņsimt sešdesmit naudas soda vienībām aizstāt ar naudas sodu līdz 3 % no iepriekšējā gada apgrozījuma. Savukārt likumprojekta 37. pants (paredzētā grozāmā likuma 62. panta sestā daļa) paredz fiksētu naudas soda apmēru – "trīs procentus" no iepriekšējā pārskata gada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likumprojekta 37. panta redakciju, paredzot, ka juridiskai personai piemērojamais naudas sods ir līdz trim procentiem no tās iepriekšējā pārskata gada apgrozījuma.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Likumprojekta 38. pantā pārskatāma soda veida un apmēra izvēle, kā arī redakcionāli precizējams sodu regulējums. Likumprojekta anotācijā ietverams atbilstošs soda veida un apmēra izvēles pamatojums, īpašu uzmanību pievēršot fiksēta apmēra sodiem.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38. pants (paredzētā grozāmā likuma 63.</w:t>
            </w:r>
            <w:r w:rsidR="00000000" w:rsidRPr="00000000" w:rsidDel="00000000">
              <w:rPr>
                <w:vertAlign w:val="superscript"/>
                <w:rtl w:val="0"/>
              </w:rPr>
              <w:t xml:space="preserve">1</w:t>
            </w:r>
            <w:r w:rsidR="00000000" w:rsidRPr="00000000" w:rsidDel="00000000">
              <w:rPr>
                <w:rtl w:val="0"/>
              </w:rPr>
              <w:t xml:space="preserve"> panta pirmā daļa) paredz atšķirīgu naudas soda apmēra noteikšanas pieeju fiziskai un juridiskai personai – fiziskai personai noteikta naudas soda maksimālā robeža, savukārt juridiskai personai – fiksēta apmēra naudas sods. Šādai pieejai nav pamatojuma. Lūdzam nodrošināt vienotu pieeju, paredzot, ka piemērojamais naudas sods ir noteikts pēc vienāda principa – proti, gan fiziskai, gan juridiskai personai nosakot naudas soda maksimālo robežu vai fiksēta apmēra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izmantots neprecīzs redakcionālais formulējums. Ja paredzēts noteikt naudas soda maksimālo robežu, lūdzam vārdu "apmērā" svītrot un aizstāt tekstu ar, piemēram, "līdz desmit naudas soda vienībām". Soda formulējumā vārds "apmēram"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38. pantā (paredzētā grozāmā likuma 63.</w:t>
            </w:r>
            <w:r w:rsidR="00000000" w:rsidRPr="00000000" w:rsidDel="00000000">
              <w:rPr>
                <w:vertAlign w:val="superscript"/>
                <w:rtl w:val="0"/>
              </w:rPr>
              <w:t xml:space="preserve">1</w:t>
            </w:r>
            <w:r w:rsidR="00000000" w:rsidRPr="00000000" w:rsidDel="00000000">
              <w:rPr>
                <w:rtl w:val="0"/>
              </w:rPr>
              <w:t xml:space="preserve"> panta pirmajā un otrajā daļā) ir paredzēts fiksēta apmēra naudas sods juridiskām personām – septiņpadsmit naudas soda vienības. Fiksēta apmēra naudas soda pieļaujamību ir sarežģīti attaisnot, it īpaši tad, ja pārkāpumam ir iespējami daudzveidīgs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noteikt fiksēta apmēra naudas sodu, jāņem vērā, ka pārkāpuma raksturam jābūt tādam, kurā ir maz izvērtējamo elementu un ir paredzams, ka pārkāpumu izdarīšanas faktiskie apstākļi būs salīdzināmi. Turklāt ir jāievēro Administratīvās atbildības likuma 16. pantā paredzētais naudas soda regulējums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60.-61.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Fiksēta apmēra sodu pieļaujamība ir vērtēta arī Satversmes tiesas 2021. gada 6. aprīļa spriedumā lietā Nr. 2020‑31‑01. Pārbaudot to, vai izraudzītie līdzekļi ir nepieciešami leģitīmo mērķu sasniegšanai, Satversmes tiesa vērtē, vai leģitīmos mērķus nav iespējams sasniegt ar citiem, indivīda pamattiesības mazāk ierobežojošiem līdzekļiem, kuri būtu tikpat iedarbīgi (</w:t>
            </w:r>
            <w:r w:rsidR="00000000" w:rsidRPr="00000000" w:rsidDel="00000000">
              <w:rPr>
                <w:i w:val="1"/>
                <w:rtl w:val="0"/>
              </w:rPr>
              <w:t xml:space="preserve">Satversmes tiesas 2021. gada 6. aprīļa sprieduma lietā Nr. 2020‑31‑01 19. punkts</w:t>
            </w:r>
            <w:r w:rsidR="00000000" w:rsidRPr="00000000" w:rsidDel="00000000">
              <w:rPr>
                <w:rtl w:val="0"/>
              </w:rPr>
              <w:t xml:space="preserve">). Viens no šādiem "citiem, mazāk ierobežojošiem līdzekļiem" varētu būt soda individualizācija (noteiktas soda robežas, nevis fiksēts apmērs). Tātad, ja likumprojektā vēlas paredzēt fiksēta apmēra sodu, ir jāpamato, ka par konkrētajiem pārkāpumiem soda individualizācija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jāvērtē iespējamie attiecīgā pienākuma pārkāpuma izpausmes veidi. Ja pārkāpumu kaitīguma pakāpes dažādās iespējamajās situācijās var būt atšķirīgas, tad ir nepieciešama soda individualizācija (</w:t>
            </w:r>
            <w:r w:rsidR="00000000" w:rsidRPr="00000000" w:rsidDel="00000000">
              <w:rPr>
                <w:i w:val="1"/>
                <w:rtl w:val="0"/>
              </w:rPr>
              <w:t xml:space="preserve">Satversmes tiesas 2021. gada 6. aprīļa sprieduma lietā Nr. 2020‑31‑01  20.1. punkts</w:t>
            </w:r>
            <w:r w:rsidR="00000000" w:rsidRPr="00000000" w:rsidDel="00000000">
              <w:rPr>
                <w:rtl w:val="0"/>
              </w:rPr>
              <w:t xml:space="preserve">). Šis aspekts atbilst administratīvo pārkāpumu tiesību literatūrā minētajai prasībai, ka fiksētu sodu gadījumā pārkāpuma raksturam jābūt tādam, kurā ir maz izvērtējamo elementu un ir paredzams, ka pārkāpuma izdarīšanas faktiskie apstākļi būs salīdzināmi. Kā norāda Satversmes tiesa, ja konkrēto pārkāpumu raksturo pietiekami vienveidīgi apstākļi, likumdevējs var noteikt tādu soda naudas apmēru, kas tipiskā gadījumā ir nemainīgs (</w:t>
            </w:r>
            <w:r w:rsidR="00000000" w:rsidRPr="00000000" w:rsidDel="00000000">
              <w:rPr>
                <w:i w:val="1"/>
                <w:rtl w:val="0"/>
              </w:rPr>
              <w:t xml:space="preserve">Satversmes tiesas 2021. gada 6. aprīļa sprieduma lietā Nr. 2020‑31‑01 21.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lietā Satversmes tiesa vērtēja arī to, vai soda individualizācija neprasa pārmērīgu valsts vai sabiedrības resursu ieguldījumu (</w:t>
            </w:r>
            <w:r w:rsidR="00000000" w:rsidRPr="00000000" w:rsidDel="00000000">
              <w:rPr>
                <w:i w:val="1"/>
                <w:rtl w:val="0"/>
              </w:rPr>
              <w:t xml:space="preserve">Satversmes tiesas 2021. gada 6. aprīļa sprieduma lietā Nr. 2020‑31‑01 20.2. punkts</w:t>
            </w:r>
            <w:r w:rsidR="00000000" w:rsidRPr="00000000" w:rsidDel="00000000">
              <w:rPr>
                <w:rtl w:val="0"/>
              </w:rPr>
              <w:t xml:space="preserve">). Šajā gadījumā pirmšķietami nav saskatāms, ka šāds aspekts būtu nozīmīgs.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tomēr projektā saglabā vai paredz fiksēta apmēra naudas sodu, tam nepieciešams īpaši rūpīgs un argumentēts pamatojums, izmantojot minētās Satversmes tiesas un administratīvās atbildības vai sodu tiesību kopumā tiesību doktrīnas atziņas.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38. pants (paredzētā grozāmā likuma 63.</w:t>
            </w:r>
            <w:r w:rsidR="00000000" w:rsidRPr="00000000" w:rsidDel="00000000">
              <w:rPr>
                <w:vertAlign w:val="superscript"/>
                <w:rtl w:val="0"/>
              </w:rPr>
              <w:t xml:space="preserve">2</w:t>
            </w:r>
            <w:r w:rsidR="00000000" w:rsidRPr="00000000" w:rsidDel="00000000">
              <w:rPr>
                <w:rtl w:val="0"/>
              </w:rPr>
              <w:t xml:space="preserve"> pants) paredz piemērot brīdinājumu gan fiziskai, gan juridiskai personai, atšķiras vienīgi tām paredzētais naudas soda apmērs. Šādā gadījumā brīdinājuma piemērošanas regulējumu nav nepieciešams atkārtot. Izmanto šāda veida izteiksmi, piemēram: "[..] piemēro brīdinājumu vai naudas sodu fiziskajai personai līdz simt četrdesmit naudas soda vienībām, bet juridiskajai personai – līdz divsimt astoņdesmit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nepieciešams norādīt, ka attiecīgais aizliegums izriet no pašvaldību saistošajiem noteikumiem. Tam, kur attiecīgā darbība ir aizliegta, būtu jāizriet no pamatregulējuma. Par tiesisku rīcību administratīvā atbildība tāpat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(3) Ja zemo emisiju zonā vai bezemisiju zonā tiek papildus noteikta arī ielu nodeva atbilstoši ceļu nodevas regulējošajiem normatīvajiem aktiem, tad tiek piemērots administratīvais sods tikai atbilstoši ceļu nodevas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regulējumu par rīcību tiesību normu kolīzijas gadījumā vai citā situācijā, kad uz to attiecas vairākas pārkāpumu noteicošas normas. Šāds skaidrojums ir ietverams projekta anotācijā. Tam, kura norma attiecīgajā gadījumā ir piemērojama, ir jāizriet no jautājuma pamatregulējuma un juridisko metožu pielietojuma.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pants. (1) Valsts vides dienests ir tiesīgs dabasgāzes pārvades, sadales un uzglabāšanas sistēmas operatoram, sašķidrinātas dabasgāzes iekārtas operatoram, komersantam, kam izsniegta licence ogļūdeņražu meklēšanai, izpētei un ieguvei, un komersantam, kas importē dabasgāzi, jēlnaftu un ogles no valstīm, kas atrodas ārpus Eiropas Savienības un Eiropas Ekonomikas zonas par Eiropas Savienības un Eiropas Ekonomikas zonas, par Eiropas Parlamenta un Padomes 2024. gada 13. jūnija regulas (ES) 2024/1787 par metāna emisiju samazināšanu enerģētikas sektorā un ar ko groza Regulu (ES) 2019/942 (turpmāk — Regula Nr. 2024/1787) prasību neievērošanu piemērot administratīvos sodus, tajā skaitā uzlikt soda naudu, kuras apmērs nepārsniedz 10 % no komersanta gada neto apgrozījuma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norādi "par Eiropas Savienības un Eiropas Ekonomikas zonas" vai tiesiskās noteiktības nolūkā precīzāk norādīt, kādas, proti, kādu ārējo normatīvo aktu prasības ir domātas ar Eiropas Savienības un Eiropas Ekonomikas zonas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pants. (1) Valsts vides dienests ir tiesīgs dabasgāzes pārvades, sadales un uzglabāšanas sistēmas operatoram, sašķidrinātas dabasgāzes iekārtas operatoram, komersantam, kam izsniegta licence ogļūdeņražu meklēšanai, izpētei un ieguvei, un komersantam, kas importē dabasgāzi, jēlnaftu un ogles no valstīm, kas atrodas ārpus Eiropas Savienības un Eiropas Ekonomikas zonas par Eiropas Savienības un Eiropas Ekonomikas zonas, par Eiropas Parlamenta un Padomes 2024. gada 13. jūnija regulas (ES) 2024/1787 par metāna emisiju samazināšanu enerģētikas sektorā un ar ko groza Regulu (ES) 2019/942 (turpmāk — Regula Nr. 2024/1787) prasību neievērošanu piemērot administratīvos sodus, tajā skaitā uzlikt soda naudu, kuras apmērs nepārsniedz 10 % no komersanta gada neto apgrozījuma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Likumprojekta 40. pantā nav izveidots atbilstošs administratīvo pārkāpumu un par tiem piemērojamo sodu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likumprojekts paredz, ka par noteiktu prasību neievērošanu var piemērot "administratīvos sodus", likumprojektā nav iekļauts administratīvās atbildības sistēmai atbilstošs administratīvo pārkāpumu, piemērojamo sodu un kompetences administratīvā pārkāpuma procesā regulējums. Turklāt administratīvā soda apzīmēšanai lietojams termins "naudas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ar likumprojektā paredzētajiem "administratīvajiem sodiem" ir bijis domāts noteikt administratīvajai atbildībai līdzīgu piespiedu ietekmēšanas līdzekli jeb administratīvo sankciju, šādai pieejai nav saskatāms pamatojums, it īpaši ņemot vērā, ka Valsts vides dienesta amatpersonas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pants. (2) Kārtību, kādā nosaka šī panta pirmajā daļā minēto komersantu finanšu gada neto apgrozījuma aprēķināšanas kārtību, kritērijus administratīvo sodu piemērošanai par Regulas Nr.2024/1787 prasību neievērošanu, tostarp soda naudas apmēra aprēķināšanas kārtību, ņemot vērā attiecīgā pārkāpuma smagumu un ilgumu, atbildību mīkstinošos un pastiprinošos apstākļus, kā arī gadījumus, kad soda naudu var samazināt,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Soda piemērošanas kritēriji un cits ar to tieši saistītas regulējums ir ekskluzīvs Saeimas jeb formālā likumdevēja kompetences jautājums. Šie jautājumi nav iekļaujami pilnvarojumā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40. pants (paredzētā grozāmā likuma 64.</w:t>
            </w:r>
            <w:r w:rsidR="00000000" w:rsidRPr="00000000" w:rsidDel="00000000">
              <w:rPr>
                <w:vertAlign w:val="superscript"/>
                <w:rtl w:val="0"/>
              </w:rPr>
              <w:t xml:space="preserve">1</w:t>
            </w:r>
            <w:r w:rsidR="00000000" w:rsidRPr="00000000" w:rsidDel="00000000">
              <w:rPr>
                <w:rtl w:val="0"/>
              </w:rPr>
              <w:t xml:space="preserve"> panta otrā daļa) paredz pilnvarojumu Ministru kabinetam noteikt kārtību, kādā nosaka finanšu gada neto apgrozījuma aprēķināšanas kārtību, kritērijus administratīvo sodu piemērošanai par Regulas Nr.2024/1787 prasību neievērošanu, tostarp soda naudas apmēra aprēķināšanas kārtību, ņemot vērā attiecīgā pārkāpuma smagumu un ilgumu, atbildību mīkstinošos un pastiprinošos apstākļus, kā arī gadījumus, kad soda naudu var samazināt. Tomēr Ministru kabineta noteikumos nav pieļaujams paredzēt tādus soda naudas apmēra noteikšanas kritērijus, kas iejaucas likumdevēja ekskluzīvajā kompetences jomā – noteikt pārkāpumus un par tiem piemērojamos sodus.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Satversmes tiesas judikatūrā nav vērtēts jautājums, vai administratīvos sodus un tiem pielīdzināmus sodus (sankcijas) ir jānosaka tieši likumdevējam. Tomēr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sk.: Satversmes tiesas 2015. gada 8. aprīļa sprieduma lietā Nr. 2014-34-01 11.3. punkts; Satversmes tiesas 2003. gada 29. oktobra sprieduma lietā Nr. 2003-05-01 29. punkts</w:t>
            </w:r>
            <w:r w:rsidR="00000000" w:rsidRPr="00000000" w:rsidDel="00000000">
              <w:rPr>
                <w:rtl w:val="0"/>
              </w:rPr>
              <w:t xml:space="preserve">). Turklāt Latvijas tiesību sistēmā sodi par noziedzīgiem nodarījumiem, administratīvajiem pārkāpumiem un tiem pielīdzināmiem pārkāpumiem un to piemērošanas kritēriji pamatā tiek noteikti tieši likumos (izņēmums ir administratīvie pārkāpumi pašvaldību saistošajos noteikumos likumā noteiktajos gadījumos). Likumā ir skaidri noteikti piemērojamo sodu veidi, ierobežots to apmērs un noteikti citi piemērošanas kritēriji, bet pašvaldību saistošajos noteikumos likumā noteiktajos gadījumos ir pieļaujams paredzēt administratīvos pārkāpumus un konkrētus par tiem piemērojamos sodus. Arī Vācijas Federālā konstitucionālā tiesa ir atzinusi, ka tieši likumdevējam ir jānosaka, par kādu rīcību personu var sodīt un kāds sods var tikt noteikts. Ar izpildvaras izdotiem normatīviem aktiem šo regulējumu drīkst tikai precizēt. Ievērojot iepriekš minētos argumentus, Augstākā tiesa ir atzinusi, ka atbilstoši Latvijas Republikas Satversmes 1. un 64. pantam Ministru kabineta noteikumos sodu noteikt varētu tikai tad, ja likumā ir noteikts skaidrs deleģējums tam, turklāt likumdevējs pats ir izlēmis gan to, par ko personu var sodīt, gan arī to, kādus sodus var paredzēt (</w:t>
            </w:r>
            <w:r w:rsidR="00000000" w:rsidRPr="00000000" w:rsidDel="00000000">
              <w:rPr>
                <w:i w:val="1"/>
                <w:rtl w:val="0"/>
              </w:rPr>
              <w:t xml:space="preserve">Augstākās tiesas Administratīvo lietu departamenta 2017. gada 5. jūlija sprieduma lietā Nr. SKA-48/2017 9. punkts</w:t>
            </w:r>
            <w:r w:rsidR="00000000" w:rsidRPr="00000000" w:rsidDel="00000000">
              <w:rPr>
                <w:rtl w:val="0"/>
              </w:rPr>
              <w:t xml:space="preserve">). Šajā Augstākās tiesas spriedumā gan nebija nepieciešams vērtēt, vai konkrētajā gadījumā šādu pilnvarojumu, ievērojot Latvijas tiesību sistēmas tradīcijas, likumdevējs vispār varētu paredzēt.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adresātam jābūt iespējai paredzēt valsts atbildes reakciju uz tiesību pārkāpumiem. Likumdevējs ir izpildījis savu pienākumu, ja normas adresāts var novērtēt draudošā soda apmēru, bet tiesību piemērotājs – noteikt atbilstošu sodu. Likumdevējam nepieciešams pieņemt lēmumu par iespējamo juridisko seku veidu un apmēru un iespējami precīzi noteikt ietvarus, kuros tiesību piemērotājam jārīkojas. Jo smagāks ir draudošais sods, jo vairāk likumdevējam ir pienākums sniegt vadlīnijas, kas padara sankciju paredzamu, un normas adresātu informēt par gaidāmo sodu. Jābūt noteiktām soda robežām, kurās parasti norādīts minimālais un maksimālais sods. Tāpat nepieciešams, lai likumdevējs norādītu kritērijus, pēc kuriem tiesību piemērotājam jāvadās, izvēloties soda veidu un apmēru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103.-104.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sodi un to piemērošanas jautājumi ir jāregulē likumdevējam. Soda regulējums nav skatāms atrauti no tā piemērošanas kritērijiem. Tieši soda piemērošanas kritēriji noteic faktiski piemēroto sodu. Gan soda veids un apmērs, gan soda piemērošanas kritēriji "kā politisks jautājums ir likumdevēja kompetencē". Šie regulējamie jautājumi ir vienlīdz nozīmīgi un ietilpst to svarīgāko valsts un sabiedrības dzīves jautājumu kategorijā, kuri jāizlemj pašam likumdevējam. Tam, ka šobrīd jau pastāv projektā paredzētajam līdzīgs regulējums kādā citā likumā vai Ministru kabineta noteikumos, nav izšķirošas nozīmes.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nav pieļaujams regulēt soda naudas aprēķināšanas kārtību, atbildību pastiprinošus vai mīkstinošus apstākļus, soda samazināšanas gadījumus un tamlīdzīgus soda piemērošanā būtiskus jautājumus. Ja nepieciešams, likumprojektā varētu regulēt, piemēram, gada apgrozījuma noteikšanas kārtību. Tāpat iestādei ir tiesības izdot iekšējos normatīvos aktus (ieteikumus, instrukcijas), ja tas nepieciešams, lai nodrošinātu likuma piemērošanu un vienveidīgu rīcību vienādos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Oficiālo publikāciju un tiesiskās informācijas likumam, ja spēku zaudē normatīvā akta izdošanas tiesiskais pamats (augstāka juridiska spēka tiesību norma, uz kuras pamata izdots cits normatīvais akts), tad spēku zaudē arī uz šā pamata izdotais normatīvais akts vai tā daļa. Attiecīgi secināms, ja konkrētiem Ministru kabineta noteikumiem zaudē spēku to izdošanas pamats, tad spēku zaudē arī paši noteikumi, turklāt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 pantā un 11</w:t>
            </w:r>
            <w:r w:rsidR="00000000" w:rsidRPr="00000000" w:rsidDel="00000000">
              <w:rPr>
                <w:vertAlign w:val="superscript"/>
                <w:rtl w:val="0"/>
              </w:rPr>
              <w:t xml:space="preserve">9</w:t>
            </w:r>
            <w:r w:rsidR="00000000" w:rsidRPr="00000000" w:rsidDel="00000000">
              <w:rPr>
                <w:rtl w:val="0"/>
              </w:rPr>
              <w:t xml:space="preserve">. panta sestajā daļā ietverts pilnvarojums Ministru kabineta noteikumu izdošanai, tādēļ nevar veikt grozījumus neesošos noteikumos (proti, noteikumos, kas nav izdoti). Ievērojot minēto, lūdzam izslēgt likuma pārejas noteikumu 90. punktu u.c. tml. pārejas noteikumus. Ja nepieciešams, lūdzam tā vietā paredzēt 92. punktā ietvertajam noteikumam līdzīgu pārejas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izslēgt normu, kas paredz, ka: "Šī likuma 11.15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 nepieciešamības gadījumā ietverot to likuma pamattekstā. Vēršam uzmanību, ka minētais noteikums faktiski neatbilst Ministru kabineta 2009. gada 3. februāra noteikumu Nr. 108 "Normatīvo aktu projektu sagatavošanas noteikumi" (turpmāk - noteikumi Nr. 108) 27.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11.</w:t>
            </w:r>
            <w:r w:rsidR="00000000" w:rsidRPr="00000000" w:rsidDel="00000000">
              <w:rPr>
                <w:vertAlign w:val="superscript"/>
                <w:rtl w:val="0"/>
              </w:rPr>
              <w:t xml:space="preserve">15</w:t>
            </w:r>
            <w:r w:rsidR="00000000" w:rsidRPr="00000000" w:rsidDel="00000000">
              <w:rPr>
                <w:rtl w:val="0"/>
              </w:rPr>
              <w:t xml:space="preserve"> panta sestajā un septītajā daļā nav ietverti Ministru kabineta noteikumi, tādēļ lūdzam tehniski precizēt (acīmredzami domāts - 11.</w:t>
            </w:r>
            <w:r w:rsidR="00000000" w:rsidRPr="00000000" w:rsidDel="00000000">
              <w:rPr>
                <w:vertAlign w:val="superscript"/>
                <w:rtl w:val="0"/>
              </w:rPr>
              <w:t xml:space="preserve">16</w:t>
            </w:r>
            <w:r w:rsidR="00000000" w:rsidRPr="00000000" w:rsidDel="00000000">
              <w:rPr>
                <w:rtl w:val="0"/>
              </w:rPr>
              <w:t xml:space="preserve"> panta sestā un septītā daļa) likuma pārejas noteikumu 93.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nevar paredzēt likuma pārejas noteikumos vēlāku termiņu Ministru kabineta noteikumu izdošanai gadījumos, ja konkrētās prasības paredzētas Eiropas Savienības direktīvu prasību izpildei, kuras ir jāpārņem līdz likumprojekta spēkā stāšanās brīdim (piem., sk. pārejas noteikumus attiecībā uz likumprojekta 7. pantā ietverto pilnvarojumu), tādēļ lūdzam atbilstoši precizēt pārejas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pārējos gadījumos, ja Ministru kabineta noteikumos nav paredzēts ieviest Eiropas Savienības tiesību prasības, bet nepieciešams noteikt vēlāku Ministru kabineta izdošanas datumu, vēršam uzmanību, ka atbilstoši juridiskās tehnikas prasībām likumprojekts (likums) var pilnvērtīgi darboties vienīgi ar attiecīgajiem Ministru kabineta noteikumiem, tādēļ aicinām izvērtēt un likumprojekta anotācijā pamatot vēlāku Ministru kabineta noteikumu izdošanas termiņu, kā arī iespēju robežās nenoteikt to garāku par sešiem mēnešiem no likuma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pārejas noteikumu, kas paredz, ka Ministru kabinets līdz 2027. gada 31. decembrim izdod šā likuma 65. panta septītajā daļā 1. un 2. punktā minētos noteikumus, jo likumā nav attiecīga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108 59. punktu, lūdzam izslēgt likumprojektā ietverto atsauci uz Eiropas Komisijas ekspluatācijas noteikumiem vai precizēt to, tā vietā atsaucoties uz tieši piemērojamiem Eiropas Savienības tiesību aktiem, kur šie noteikumi ietverti (piem., regulā).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likuma pārejas noteikumu 103. punktu, kas neatbilst juridiskās tehnikas prasībām, tai skaitā no normas un anotācijas neizriet pamatojums  "šā likuma 1. pielikuma otrās daļas 3. punkta "a1)" apakšpunktā  un sestās daļas 2. punktā (attiecībā uz apdari)" ietvertām prasībām paredzēt pārejas kārtību, proti, ka tās piemēro saskaņā ar šā likuma redakciju, bet pārējā normas regulējuma būtība nav skaidri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1. 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2024. gada 23. oktobra direktīvas 2024/2881 par gaisa kvalitāti un tīrāku gaisu Eiropai (pārstrādāta redakcija) (turpmāk - direktīva 2024/2881) un Eiropas Parlamenta un Padomes 2024. gada 24. aprīļa direktīvas (ES) 2024/1785, ar ko groza Eiropas Parlamenta un Padomes Direktīvu 2010/75/ES par rūpnieciskajām emisijām (piesārņojuma integrēta novēršana un kontrole) un Padomes Direktīvu 1999/31/EK par atkritumu poligoniem (turpmāk - direktīva 2024/1785) prasības pamatā stājas attiecīgi 2026. gada 11. (vairākas prasības 12. decembrī) un 2026. gada 1. jūlijā. Attiecīgi lūdzam atbilstoši precizēt likumprojekta (likuma spēkā stāšanās termiņu), nepieciešamības gadījumā to diferencējot.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"papildina likumu "Par piesārņojumu" ar jaunām normām, kas izriet no Direktīvas 2024/2881 par gaisa kvalitāti, kā arī ietver normas, kas nepieciešamas tālāk noteikto prasību labākai izpratnei. Likumprojektā iekļautais termins - "apkures iekārtas" ir visas individuālās un lokālās apkures iekārtas, kurām nav izsniegtas atļaujas A vai B kategorijas piesārņojošo darbību veikšanai vai kuras nav reģistrētas C kategorijas darbībai atbilstoši normatīvajiem aktiem par kārtību,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attiecīgi arī papildināt likumprojekta anotācijas 5.4. apakšsadaļas 1. tabulu, norādot konkrētu minētās direktīvas vienību, kur ietverts konkrētā termina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anotācijas 1.3. apakšsadaļu ar informāciju par likumprojekta 1. pantā ietvertā likuma 1. panta 39., 41.-51. punkta nepieciešamību un mērķi, bet, ja minētie terminu skaidrojumi izriet no direktīvu prasībām - likumprojekta 5.4. apakšsadaļas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"likumprojekta 2. un 3. pants groza likuma "Par piesārņojumu" 2. un 3. pantu. Proti, lai likuma "Par piesārņojuma" mērķis un darbības joma atbilstu tālākajam likuma tvērumam, nepieciešams veikt papildinājumus". Saistībā ar minēto vēršam uzmanību, ka likumprojekta 2. pantā paredzēts arī regulējums, kas paredz izslēgt likuma 2. panta 4., 5., un 6. punktu un 3. panta pirmās daļas 5. un 6. punktu, kura nepieciešamību un mērķi lūdzam skaidrot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ietverta pretrunīga informācija par kompensācijas prasījuma noilguma termiņu. Vēršam uzmanību, ka anotācijā, skaidrojot likumprojekta 36. pantā paredzēto regulējumu, norādīts, ka Eiropas Parlamenta un Padomes 2010. gada 24. novembra Direktīvas 2010/75/ES par rūpnieciskajām un lopkopības emisijām (piesārņojuma integrēta novēršana un kontrole) 79.a panta trešajā punktā paredzētā dalībvalsts rīcības brīvība attiecībā uz noilguma termiņa noteikšanu netiks izmantota un kompensācijas prasījumiem tiks piemērots Civillikumā noteiktais desmit gadu noilguma termiņš. Vienlaikus likumprojekta 36. pantā paredzētā likuma 51.</w:t>
            </w:r>
            <w:r w:rsidR="00000000" w:rsidRPr="00000000" w:rsidDel="00000000">
              <w:rPr>
                <w:vertAlign w:val="superscript"/>
                <w:rtl w:val="0"/>
              </w:rPr>
              <w:t xml:space="preserve">1</w:t>
            </w:r>
            <w:r w:rsidR="00000000" w:rsidRPr="00000000" w:rsidDel="00000000">
              <w:rPr>
                <w:rtl w:val="0"/>
              </w:rPr>
              <w:t xml:space="preserve"> panta astotajā daļā noteikts 24 mēnešu termiņš kompensācijas pieprasīšanai. Ievērojot minēto, aicinām anotācijā skaidrot šķietamo pretrunu anotācijā un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u w:val="single"/>
                <w:rtl w:val="0"/>
              </w:rPr>
              <w:t xml:space="preserve">A kategorijas operators</w:t>
            </w:r>
            <w:r w:rsidR="00000000" w:rsidRPr="00000000" w:rsidDel="00000000">
              <w:rPr>
                <w:rtl w:val="0"/>
              </w:rPr>
              <w:t xml:space="preserve">, kas veicot piesārņojošo darbību, ir pārkāpis Dienesta izvirzītos atļaujas nosacījumus vai normatīvajos aktos noteiktās vides aizsardzības prasības, un tādējādi radījis vides piesārņojumu ar piesārņojošo vielu emisijām vidē, un šo pārkāpumu rezultātā ir nodarīts kaitējums cilvēka veselībai [...] </w:t>
            </w:r>
            <w:r w:rsidR="00000000" w:rsidRPr="00000000" w:rsidDel="00000000">
              <w:rPr>
                <w:u w:val="single"/>
                <w:rtl w:val="0"/>
              </w:rPr>
              <w:t xml:space="preserve">ir atbildīgs par nodarīto kaitējumu un sekojoši par kompensācijas izmaksāšanu.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1635.panta pirmā daļa nosaka, ka katrs tiesību aizskārums, tas ir, katra pati par sevi neatļauta darbība, kuras rezultātā nodarīts kaitējums (arī morālais kaitējums), dod tiesību cietušajam prasīt apmierinājumu no aizskārēja, ciktāl viņu par šo darbību var vainot.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ņemot vērā, ka no anotācijas līdz galam nav saprotams likumprojektā noteiktā regulējuma (pienākuma izmaksāt kompensāciju) tiesiskā saikne ar Civillikumā noteikto vispārējo pienākumu atlīdzināt kaitējumu un cietušā tiesībām prasīt šī kaitējuma atlīdzinājumu, lūdzam skaidrot minēto, tostarp: vai kompensācijas neizmaksas gadījumā persona varēs vērst prasību pret A kategorijas operatoru civiltiesiskā kārtībā?; vai, ja privātpersona sešu mēnešu laikā iesniedz kompetentajā institūcijā, tā varēs vērts prasību pret A kategorijas operatoru civiltiesiskā kārtībā (un kādas sekas šī termiņa neievērošanai ir prasības izskatīšanai civiltiesiskā kārtībā)?; vai papildus kompensācijai persona varēs prasīt kaitējuma atlīdzinājumu arī Civiltiesiskā kārtībā?; kādos gadījumos likumprojekta tvērumā piemērojams Civillikumā iekļautais vispārīgais 10 gadu noilguma termiņš?; vai likumprojektā paredzētais regulējums uzskatāms par speciālo regulējumu iepretim Civillikuma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ka "Atļaujas nosacījumos tiek precizēts, ka darbības, kuras ir uzskaitītas Eiropas Parlamenta un Padomes 2003. gada 13. oktobra Direktīvas 2003/87/EK, ar kuru nosaka sistēmu siltumnīcas efektu izraisošo gāzu emisijas kvotu tirdzniecībai Kopienā un groza Padomes Direktīvu 96/61/EK I pielikumā, </w:t>
            </w:r>
            <w:r w:rsidR="00000000" w:rsidRPr="00000000" w:rsidDel="00000000">
              <w:rPr>
                <w:u w:val="single"/>
                <w:rtl w:val="0"/>
              </w:rPr>
              <w:t xml:space="preserve">dalībvalstis var izvēlēties neizvirzīt prasības,</w:t>
            </w:r>
            <w:r w:rsidR="00000000" w:rsidRPr="00000000" w:rsidDel="00000000">
              <w:rPr>
                <w:rtl w:val="0"/>
              </w:rPr>
              <w:t xml:space="preserve"> kas paredzētas Direktīvas 2024/1785 1. panta 13. punkta grozītās Direktīvas 2010/75/ES 14. panta 1. punkta aa) apakšpunktā  un 15. panta 4. punktā attiecībā uz energoefektivitāti sadedzināšanas blokos vai citos blokos, kas objektā emitē oglekļa dioksīdu, nenosakot vides snieguma robežvērtības vai ar labākajiem pieejamiem tehniskajiem paņēmieniem saistīta vides snieguma līmeņa, kas noteiktas LPTP. " Saistībā ar minēto lūdzam papildināt anotācijas 5.4. apakšsadaļas 1. tabulu, skaidrojot apsvērumus, kādēļ izmantota attiecīgā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un anotācijas 5. sadaļā, jo īpaši 5.4. apakšsadaļas 1. tabulā precīzāk skaidrot, kā tieši un iepretim kuriem Eiropas Savienības tiesību aktiem atbilstība tiek nodrošināta ar likumprojekta 17., 24.-28., 45. un 46. pantu (kas papildina un precizē likuma 24.</w:t>
            </w:r>
            <w:r w:rsidR="00000000" w:rsidRPr="00000000" w:rsidDel="00000000">
              <w:rPr>
                <w:vertAlign w:val="superscript"/>
                <w:rtl w:val="0"/>
              </w:rPr>
              <w:t xml:space="preserve">3</w:t>
            </w:r>
            <w:r w:rsidR="00000000" w:rsidRPr="00000000" w:rsidDel="00000000">
              <w:rPr>
                <w:rtl w:val="0"/>
              </w:rPr>
              <w:t xml:space="preserve">, 32.1</w:t>
            </w:r>
            <w:r w:rsidR="00000000" w:rsidRPr="00000000" w:rsidDel="00000000">
              <w:rPr>
                <w:vertAlign w:val="superscript"/>
                <w:rtl w:val="0"/>
              </w:rPr>
              <w:t xml:space="preserve">6,</w:t>
            </w:r>
            <w:r w:rsidR="00000000" w:rsidRPr="00000000" w:rsidDel="00000000">
              <w:rPr>
                <w:rtl w:val="0"/>
              </w:rPr>
              <w:t xml:space="preserve"> 32.1</w:t>
            </w:r>
            <w:r w:rsidR="00000000" w:rsidRPr="00000000" w:rsidDel="00000000">
              <w:rPr>
                <w:vertAlign w:val="superscript"/>
                <w:rtl w:val="0"/>
              </w:rPr>
              <w:t xml:space="preserve">7</w:t>
            </w:r>
            <w:r w:rsidR="00000000" w:rsidRPr="00000000" w:rsidDel="00000000">
              <w:rPr>
                <w:rtl w:val="0"/>
              </w:rPr>
              <w:t xml:space="preserve">, 32.2</w:t>
            </w:r>
            <w:r w:rsidR="00000000" w:rsidRPr="00000000" w:rsidDel="00000000">
              <w:rPr>
                <w:vertAlign w:val="superscript"/>
                <w:rtl w:val="0"/>
              </w:rPr>
              <w:t xml:space="preserve">3</w:t>
            </w:r>
            <w:r w:rsidR="00000000" w:rsidRPr="00000000" w:rsidDel="00000000">
              <w:rPr>
                <w:rtl w:val="0"/>
              </w:rPr>
              <w:t xml:space="preserve">, 32.3</w:t>
            </w:r>
            <w:r w:rsidR="00000000" w:rsidRPr="00000000" w:rsidDel="00000000">
              <w:rPr>
                <w:vertAlign w:val="superscript"/>
                <w:rtl w:val="0"/>
              </w:rPr>
              <w:t xml:space="preserve">8</w:t>
            </w:r>
            <w:r w:rsidR="00000000" w:rsidRPr="00000000" w:rsidDel="00000000">
              <w:rPr>
                <w:rtl w:val="0"/>
              </w:rPr>
              <w:t xml:space="preserve"> pantus) un precizēto likuma pārejas noteikumu 78.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izvērtējams likumprojekta anotācijā iekļautais administratīvās atbildības nepieciešamības un pieļaujamības kritēriju vērtējums, kā arī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likumprojekta 37. pantu administratīvā procesa prioritātes principa vērtējums izpaužas neargumentētā pamatojumā, ka "administratīvais akts šajā gadījumā nav izdodams". To nevar atzīt par kritērija izvērtējumu. Turklāt, ja šajā gadījumā soda izmaiņas ir saistītas ar direktīvā noteiktu prasību īstenošanu, tad vērtējams un pamatojams tieši soda veids un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likumprojekta 38. pantā paredzētajiem pārkāpumiem būtībā nav vērtēta mērķa sasniegšanas efektivitāte. Jāapzinās, ka iekļūšana privātīpašumā šādos gadījumos būs sarežģīta vai pat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anotācijā norādīts, ka "attiecībā uz neatļautas apkures iekārtas izmantošanu un neatbilstoša kurināmā sadedzināšanu būtu prioritāte ir administratīvā soda noteikšanai". Ja šajā aspektā (bet ne automātiski par citiem kritērijiem) vēl varētu piekrist šim secinājumam attiecībā uz neatbilstoša kurināmā sadedzināšanu vismaz daļā gadījumu, tad neatļautas apkures iekārtas esība un izmantošana būtu risināma citiem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anotācijā norādīts: "Par neatbilstoša auto iebraukšanu noteiktajā zemo emisiju zonā vai bezemisiju zonā prioritāte ir administratīvā soda noteikšanai nevis administratīvā akta izdošanai. Likumprojektā administratīvais akts un administratīvās atbildības likumā (turpmāk – AAL) minētais maksas piedziņas (gan Civilprocesa vienkāršās piedziņas, gan AAL noteiktās piedziņas) process nav atbilstošs un administratīvā soda piemērošana konkrētajā gadījumā ir efektīvāks risinājums." No šāda skaidrojuma neizriet, kāda tieši maksas piedziņa šajā gadījumā ir 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Kritiski vērtējams likumprojekta anotācijā iekļautais apgalvojums: "Nosakot administratīvo sodu par paraugu ņemts Valsts autoceļu lietošanas nodevas likuma 11. pantā noteiktais, kā arī Jūrmalas saistošajos noteikumos noteiktā pieeja, kas šobrīd efektīvi strādā un tādēļ likumprojektā izmantota tāda pati pieeja." Administratīvās atbildības piemērošana par autoceļu lietošanas nodevas pārkāpumiem regulāri rada būtiskus sarežģījumus, piemēram, neatbilstoša tiesību normu piemērošana, nespēja identificēt ilgstošus un turpinātus pārkāpumus, kopumā nesamērīga soda apmēra piemērošana, sodīšanas neatbilstība soda mērķim un attiecīgi izraisa privātpersonu pamatotu neapmierinātību. Dažkārt ir redzams, ka sodīšanai vairs nav nekāda cita mērķa, kā vien ērti un vienkārši iekasēt attiecīgo naudas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šāda veida gadījumos ir iespējami jāizvairās no administratīvās atbildības esības, kā arī jāapzinās tās iespējamie trūkumi. Turklāt, kā to liecina likumprojektā ietvertais regulējums, vēl pastāv sarežģīta saikne ar ielu nodevas regulējumu. Nav atbalstāma divu mehānismu vienlaicīga pastāvēšana. Tāpat arī nodevu jautājumi būtu risināmi, izmantojot piespiedu piedziņu vai tamlīdzīga rakstura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pievērst uzmanību, ka šobrīd ir spēkā Jūrmalas pilsētas domes 2023. gada 29. jūnija saistošie noteikumi Nr. 13 "Par transportlīdzekļu iebraukšanu īpaša režīma zonā Jūrmalas valstspilsētas administratīvajā teritorijā". Likumprojekta anotācija neatklāj, kāpēc šis regulējums būtu salīdzināms (piem., vai tiešām tas ir saistīts ar līdzvērtīgu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Izvērtējams soda veida un apmēra izvēles pamatojums. Īpaši jautājumus rada fiziskām un juridiskām personām paredzētā soda attiecība. Pamatā sākotnējais atskaites punkts būtu Administratīvās atbildības likuma 16. pantā ietvertā naudas soda maksimālā apmēra attiecība. Piemēram, ja fiziskajai personai ir paredzēts naudas sods līdz 100 naudas soda vienībām, tad sākotnējais vērtējamais atskaites punkts juridiskām personām ir 1000 naudas soda vienības. Naudas soda maksimālais apmērs nosacīti atspoguļo administratīvā pārkāpuma smagumu. Nav izskaidrojama situācija, ka fiziskajai personai pārkāpums ir, piemēram, vidēji smags vai smags (tuvu tai nosakāmā naudas soda maksimālajai robežai), bet juridiskajai personai tas pats pārkāpums ir izteikti vieglāks.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 (Liene Linde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5.4. apakšsadaļas 1. tabulu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detalizētāk direktīvas 2024/1785 1. panta 7. punkta (grozītās direktīvas 7. un 8. panta)  prasību pārņemšanu (tostarp 7. panta trešās daļas), 1. panta 15. punkta (grozītās direktīvas 15. panta 1. punkta otrās daļas tālāko apakšpunktu pārņemšanu, skaidrojot nosacījumu, jo īpaši, piem., nosacījuma, ka netiešā piesārņojošo vielu emisija nekaitē notekūdeņu attīrīšanas procesam </w:t>
            </w:r>
            <w:r w:rsidR="00000000" w:rsidRPr="00000000" w:rsidDel="00000000">
              <w:rPr>
                <w:u w:val="single"/>
                <w:rtl w:val="0"/>
              </w:rPr>
              <w:t xml:space="preserve">un tajā iesaistītajam personālam</w:t>
            </w:r>
            <w:r w:rsidR="00000000" w:rsidRPr="00000000" w:rsidDel="00000000">
              <w:rPr>
                <w:rtl w:val="0"/>
              </w:rPr>
              <w:t xml:space="preserve">, pārņemšanu), V, VI un VII pielikuma pārņemšanu, I pielikumā ietvertās grozītās direktīvas I pielikuma 3.5. punkta, 4.2. punkta "a" apakšpunkta un 6.6. apakšpunkta, kā arī ar direktīvas 2024/1785 1. pantu grozītās direktīvas 15. panta 3. punkta otrajā daļā, 4. panta 1. punkta otrajā daļā ietvertās rīcības brīvības izmantošanas vai neizmantošanas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direktīvas 2024/2881 9. panta pārņemšanu tostarp likumprojekta 8. pantā ietvertā likuma 11.</w:t>
            </w:r>
            <w:r w:rsidR="00000000" w:rsidRPr="00000000" w:rsidDel="00000000">
              <w:rPr>
                <w:vertAlign w:val="superscript"/>
                <w:rtl w:val="0"/>
              </w:rPr>
              <w:t xml:space="preserve">1</w:t>
            </w:r>
            <w:r w:rsidR="00000000" w:rsidRPr="00000000" w:rsidDel="00000000">
              <w:rPr>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informāciju par direktīvas 2024/2881 5. pants "d" apakšpunkta pārņemšanu likumprojekta 8. pantā ietvertā likuma 11.</w:t>
            </w:r>
            <w:r w:rsidR="00000000" w:rsidRPr="00000000" w:rsidDel="00000000">
              <w:rPr>
                <w:vertAlign w:val="superscript"/>
                <w:rtl w:val="0"/>
              </w:rPr>
              <w:t xml:space="preserve">3</w:t>
            </w:r>
            <w:r w:rsidR="00000000" w:rsidRPr="00000000" w:rsidDel="00000000">
              <w:rPr>
                <w:rtl w:val="0"/>
              </w:rPr>
              <w:t xml:space="preserve"> panta pirmās daļas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skaidrot direktīvas 2024/2881 19. panta 4. punkta otrajā daļā, 22. panta 1. punkta tālākajos apakšpunktos ietverto prasību pārņemšanu, kā arī apsvērumus 22. panta 2. punktā, 28. panta 3. punktā ietvertās rīcības brīvības izmantošanai, kā arī precizēt informāciju par 20. panta 5. punkta pārņemšanu, jo norma pretēji anotācijā minētajam ir jāpārņem, tādēļ ir jāskaidro tās pārņemšana, kas ne vienmēr nozīmē pārņemšanu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skaidrot Eiropas Parlamenta un Padomes 2015. gada 25. novembra Direktīvas 2015/2193 par ierobežojumiem attiecībā uz dažu piesārņojošu vielu emisiju gaisā no vidējas jaudas sadedzināšanas iekārtām  ietvertās prasības par sadedzināšanas iekārtām, kuras tiek klasificētas kā  C kategorijas darbības, pārņemšanu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skaidrot Eiropas Parlamenta un Padomes 2024. gada 13. jūnija regulas (ES) 2024/1787 par metāna emisiju samazināšanu enerģētikas sektorā un ar ko groza Regulu (ES) 2019/942 prasību ieviešanu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gadījumos, kur direktīvu prasības tiks pārņemtas attiecīgajos nozares Ministru kabineta noteikumos vai citos gadījumos, ja ar likumprojektu netiek normas pilnībā pārņemtas, norādīt arī atbildīgo iestādi par tiesību aktu sagatavošanu un to iesniegšanas Ministru kabinetā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direktīvu normas paredzēts pārņemt pilnībā ar Ministru kabineta noteikumiem - norādīt likumprojekta vai likuma normu, kas pilnvarojumu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skaidrojumu par Eiropas Parlamenta un Padomes 2016. gada 14. septembra Regulas (ES) 2016/1628 par prasībām attiecībā uz autoceļiem neparedzētas mobilās tehnikas iekšdedzes motoru gāzveida un daļiņveida piesārņotāju emisiju robežvērtībām un tipa apstiprināšanu, ar ko groza Regulas (ES) Nr. 1024/2012 un (ES) Nr. 167/2013 un groza un atceļ Direktīvu 97/68/EK,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skaidrot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panta pārējo punktu (izņemot 1.)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paredzēts noteikt regulas 19. panta 1. punktā paredzētās apstiprinātājiestādes prasības, proti, vai konkrētajām prasībām nav jābūt noteiktām ārējā normatīvajā aktā, kā arī informatīvās mapes iesniegšanas kārtība saskaņā ar regulas 21.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apsvērumus regulas 31. panta 2. punkta otrajā daļā, 34. panta 6. punktā u.c. punktos ietvertās rīcības brīvības izmantošanai vai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47. panta 1. punkta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sadaļu, lai nodrošinātu pilnvērtīgu un strukturētu likumprojekta ietekmes izvērtējumu par ietekmi uz personas datu aizsardzību. Vēršam uzmanību, ka anotācijai ir ne tikai informatīva, bet arī metodoloģiska funkcija, nodrošinot pilnvērtīgu un strukturētu likumprojekta ietekmes izvērtējumu. Tā ir sagatavojama, ņemot vērā Valsts kancelejas sagatavotās vadlīnijas, izvērtējot plānotās personas datu apstrādes, kas ir uzskatāma par personas pamattiesību aizskārumu, ierobežojuma samērīgumu ar sasniedzamo mērķi. Tostarp anotācijas 8.1.13.sadaļā ir iekļaujama informācija par tiesisko pamatojumu personu datu apstrādei atbilstoši Vispārīgās personas datu aizsardzības regulas 6.panta 1.punktam, kā arī minētās regulas 9.panta 2.punktam, skaidrojums par paredzēto personu datu apstrādi – kādu datu subjektu un kādu kategoriju datus paredz apstrādāt likumprojekts,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pirmās daļas 4., 8., 9., 10., 22., 23., 24., 25., 27. un 31.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vairāki termini, piemēram, 1. panta pirmās daļas 8., 9. punktā lietotais termins, joprojām tiek lietots likumā, tādēļ aicinām skaidrot likumprojekta anotācijā nepieciešamību attiecīgo terminu skaidrojumus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40) apkures iekārtas  - individuālās un lokālās siltumapgādes iekārtas, kurām ir vajadzīgs dūmvads sadegšanas produktu novadīšanai atmosfērā un kas tiek izmantotas mājoklī, kurā dzīvo viena vai vairākas personas, un apkures iekārtas, ko izmanto publiskajās ēkās un uzņēmumos, izņemot iekārtas, kuras izmanto operatori, veicot piesārņojošās darbības. Par apkures iekārtu uzskata arī plīti, kur iekārtas apkures funkcija ir apvienota ar ēdiena gatavošanai paredzētu plītsvirsmu vai cepeškrāsni, vai abām, un kurai ir vajadzīgs dūmvads sadegšanas produktu novadīšanai.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likumprojektu,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"(5) Ja ir radies cilvēku dzīvībai, veselībai vai videi bīstams piesārņojums vai pastāv nopietni šāda piesārņojuma rašanās draudi, operators paziņo Valsts vides dienestam bez nepamatotas kavēšanās. Operators veic nepieciešamos pasākumus, lai novērstu vai ierobežotu piesārņojuma vai piesārņojuma rašanās iespējamību. Valsts vides dienests var uzdod operatoram veikt nepieciešamos pasākumus, lai ierobežotu ietekmi uz vidi vai cilvēka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ir radies cilvēku dzīvībai, veselībai vai videi bīstams piesārņojums vai pastāv nopietni šāda piesārņojuma rašanās draudi, operators </w:t>
            </w:r>
            <w:r w:rsidR="00000000" w:rsidRPr="00000000" w:rsidDel="00000000">
              <w:rPr>
                <w:b w:val="1"/>
                <w:rtl w:val="0"/>
              </w:rPr>
              <w:t xml:space="preserve">par to</w:t>
            </w:r>
            <w:r w:rsidR="00000000" w:rsidRPr="00000000" w:rsidDel="00000000">
              <w:rPr>
                <w:rtl w:val="0"/>
              </w:rPr>
              <w:t xml:space="preserve"> paziņo Valsts vides dienestam bez nepamatotas kavēšanās. Operators veic nepieciešamos pasākumus, lai novērstu vai ierobežotu piesārņojuma vai piesārņojuma rašanās iespējamību. Valsts vides dienests var uzdod operatoram veikt nepieciešamos pasākumus, lai ierobežotu ietekmi uz vidi vai cilvēka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"(5) Ja ir radies cilvēku dzīvībai, veselībai vai videi bīstams piesārņojums vai pastāv nopietni šāda piesārņojuma rašanās draudi, operators paziņo Valsts vides dienestam bez nepamatotas kavēšanās. Operators veic nepieciešamos pasākumus, lai novērstu vai ierobežotu piesārņojuma vai piesārņojuma rašanās iespējamību. Valsts vides dienests var uzdod operatoram veikt nepieciešamos pasākumus, lai ierobežotu ietekmi uz vidi vai cilvēka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precīzāk norādīt, kā ietekme uz vidi vai cilvēka veselību tiktu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11.pantā: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grozījumos aizstāt vārdus "svītrot" ar vārdu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svītrot otrās daļas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2005. gada 27. decembra noteikumi Nr. 1047 "Noteikumi par autoceļiem neparedzētās mobilās tehnikas iekšdedzes motoru radīto piesārņojošo vielu emisiju gaisā", kuri minēti likumprojekta anotācijā kā tādi, kuriem būtu jāzaudē spēks ar likumprojektu, ir izdoti, ne vien uz otrās daļas 5. punkta, bet arī 10. punkta pamata, tādēļ aicinām izvērtēt un atbilstoši papildināt likumprojektu vai skaidrot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Gaisa kvalitātes atbilstību cilvēka veselības aizsardzībai noteiktajiem gaisa kvalitātes normatīviem pārbauda teritorijās, kuras sabiedrībai ir pieejamas un kuru tuvumā atrodas arī pastāvīgas dzīvesvietas vai publiskās ēkas. Gaisa piesārņojuma līmeni nevērtē rūpnīcu teritorijās vai rūpnieciskajos objektos, uz kuriem attiecas normatīvie akti darba aizsardzības jomā, uz ceļu brauktuvēm, kā arī uz ceļu sadalošajām joslām, kur nav paredzēta regulāra gājēju vai velosipēdistu piekļuve.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vārdu "regulāra" vai skaidrot minētās papildu norādes atbilstību korespondējošajai direktīvas 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kārtību, kādā izveido un uztur valsts kopējo gaisu piesārņojošo vielu emisijas aprēķinu un prognožu sagatavošanas nacionālo sistēmu un atbildīgo iestāžu pienākumus emisiju ziņojumu un prognožu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lietot vienveidīgu izteiksmi attiecībā uz to, vai prognozes tiek izstrādātas vai sagatavotas.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Lai Latvijā kopumā samazinātu dažādu tautsaimniecības nozaru radītās antropogēnās gaisu piesārņojošo vielu emisijas, Ministru kabinets nosaka sēra dioksīda, slāpekļa oksīdu, gaistošo organisko savienojumu (izņemot metāna), amonjaka un daļiņu PM</w:t>
            </w:r>
            <w:r w:rsidR="00000000" w:rsidRPr="00000000" w:rsidDel="00000000">
              <w:rPr>
                <w:vertAlign w:val="subscript"/>
                <w:rtl w:val="0"/>
              </w:rPr>
              <w:t xml:space="preserve">2,5</w:t>
            </w:r>
            <w:r w:rsidR="00000000" w:rsidRPr="00000000" w:rsidDel="00000000">
              <w:rPr>
                <w:rtl w:val="0"/>
              </w:rPr>
              <w:t xml:space="preserve"> emisijas samazināšanas mērķus laikposmam līdz 2029. gadam un sākot ar 2030. gadu, kā arī gadījumus, kad ir pieļaujamas atkāpes no noteiktajiem emisijas samazināšanas mērķiem.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normā un cituviet līdzīgos gadījumos izslēgt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Gaisa kvalitātes mērķlielums ir gaisa piesārņojuma līmenis, kuru pēc iespējas jānodrošina noteiktā termiņā, lai nepieļautu, novērstu vai samazinātu gaisu piesārņojošo vielu kaitīgo ietekmi uz cilvēku veselību vai vidi.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gaisa kvalitātes mērķlielums, ne vien robežvērtība atbilstoši korespondējošās direktīvas normai ir līmenis, </w:t>
            </w:r>
            <w:r w:rsidR="00000000" w:rsidRPr="00000000" w:rsidDel="00000000">
              <w:rPr>
                <w:u w:val="single"/>
                <w:rtl w:val="0"/>
              </w:rPr>
              <w:t xml:space="preserve">kas noteikts, balstoties uz zinātniskajām atziņām</w:t>
            </w:r>
            <w:r w:rsidR="00000000" w:rsidRPr="00000000" w:rsidDel="00000000">
              <w:rPr>
                <w:rtl w:val="0"/>
              </w:rPr>
              <w:t xml:space="preserve">, tādēļ lūdzam izvērtēt un atbilstoši papildināt normu vai skaidrot tās atbilstību direktīvai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Valsts un pašvaldību institūcijas cenšas panākt un saglabāt vislabāko iespējamo gaisa kvalitāti un nodrošināt augstu cilvēka veselības un vides aizsardzības līmeni, lai pakāpeniski nodrošinātu gaisa kvalitātes līmeni, kas nepārsniedz noteiktos normatīvus, novērtēšanas sliekšņus un citus noteiktos gaisa kvalitātes mērķus. Attiecībā mērķlieluma un ozonam noteiktā ilgtermiņa mērķa sasniegšanu valsts un pašvaldību institūcijas veic pasākumus, kas nerada nesamērīgas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normu "Attiecībā mērķlieluma un ozonam noteiktā ilgtermiņa mērķa sasniegšanu", piemēram, paredzot, ka attiecīgos pasākumus veic, lai sasniegtu minētos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kārtību, kādā administrē atbrīvojumus.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norādīts uz atbrīvojumiem vai atvieglojumiem, tādēļ aicinām salāgot likumprojekta anotāciju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Informācija par gaisa kvalitāti, kuru mēra valsts un pašvaldību monitoringa tīklā esošajās gaisa kvalitātes monitoringa stacijās ir pieejama bez maksas un tiek publiskota attiecīgo iestāžu tīmekļvietnēs.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nodrošināt arī informācijas par kompetentajām iestādēm atbilstošu publiskošanu tīmekļvietnēs. Norādām, ka korespondējošajā direktīvas vienībā norādīts arī dalībvalstu pienākums "informēt sabiedrību par kompetento iestādi vai struktūru, kas norīkota saistībā ar 5. pantā minētajiem uzdevumiem", no kura pirmšķietami izriet, ka attiecīgā kompetento iestāžu noteikšana dalībvalstu tiesību aktos varētu nebūt pietiekama direktīvas prasības pienācīgai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(7) Ministru kabinets nosaka kārtību, kādā tiek sagatavota informācija par gaisa piesārņojumu, kā arī par šajā likumā minētā regulējuma īstenošanu Eiropas Savienības un citām starptautiskajām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vismaz daļēji nepārklājas normā iekļautais pilnvarojums ar sestajā daļā noteikto, kas paredz, ka Ministru kabinets nosaka prasības attiecībā uz gaisa kvalitātes mērījumu veikšanu un </w:t>
            </w:r>
            <w:r w:rsidR="00000000" w:rsidRPr="00000000" w:rsidDel="00000000">
              <w:rPr>
                <w:u w:val="single"/>
                <w:rtl w:val="0"/>
              </w:rPr>
              <w:t xml:space="preserve">valsts un pašvaldības iestāžu pienākumus attiecībā uz nepieciešamās informācijas par gaisa piesārņojumu</w:t>
            </w:r>
            <w:r w:rsidR="00000000" w:rsidRPr="00000000" w:rsidDel="00000000">
              <w:rPr>
                <w:rtl w:val="0"/>
              </w:rPr>
              <w:t xml:space="preserve">, tā ietekmēm un veicamajām rīcībām </w:t>
            </w:r>
            <w:r w:rsidR="00000000" w:rsidRPr="00000000" w:rsidDel="00000000">
              <w:rPr>
                <w:u w:val="single"/>
                <w:rtl w:val="0"/>
              </w:rPr>
              <w:t xml:space="preserve">sagatavošanu</w:t>
            </w:r>
            <w:r w:rsidR="00000000" w:rsidRPr="00000000" w:rsidDel="00000000">
              <w:rPr>
                <w:rtl w:val="0"/>
              </w:rPr>
              <w:t xml:space="preserve">. Nepieciešamības gadījumā aicinām novērst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(6) Izdevumus, kas saistīti ar motora tipa apstiprināšanu vai kas saistīti ar grozījumu apstiprināšanu motora tipa informācijas dokumentā, sedz motora tipa apstiprinājuma vai tā grozījumu pieteicējs (ražotājs), kas iesniedzis dokumentus apstiprinātājiestādei.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izvairīties no sinonīmu lietošanas, tā vietā likumprojektā paredzot, ka pieteicējs var būt vienīgi ražotājs,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"1</w:t>
            </w:r>
            <w:r w:rsidR="00000000" w:rsidRPr="00000000" w:rsidDel="00000000">
              <w:rPr>
                <w:vertAlign w:val="superscript"/>
                <w:rtl w:val="0"/>
              </w:rPr>
              <w:t xml:space="preserve">2</w:t>
            </w:r>
            <w:r w:rsidR="00000000" w:rsidRPr="00000000" w:rsidDel="00000000">
              <w:rPr>
                <w:rtl w:val="0"/>
              </w:rPr>
              <w:t xml:space="preserve">) prasības, kas nodrošina, ka ir novērtēta nepieciešamība novērst vai samazināt  tādu ķīmisko vielu un maisījumu emisijas, kas atbilst Eiropas Parlamenta un Padomes 2006.gada 18.decembra Regulas (EK) Nr.1907/2006,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57.panta kritērijiem vai tādu ķīmisko vielu vai maisījumu emisijas, uz kurām attiecas regulas 1907/2006 XVII pielikumā noteiktie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normā atrunāt saīsinājumu "regula 1907/2006" vai nodrošināt, ka likumprojektā (likumā) netiek lietoti neatrunāti saīsinājumi.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"(6</w:t>
            </w:r>
            <w:r w:rsidR="00000000" w:rsidRPr="00000000" w:rsidDel="00000000">
              <w:rPr>
                <w:vertAlign w:val="superscript"/>
                <w:rtl w:val="0"/>
              </w:rPr>
              <w:t xml:space="preserve">1</w:t>
            </w:r>
            <w:r w:rsidR="00000000" w:rsidRPr="00000000" w:rsidDel="00000000">
              <w:rPr>
                <w:rtl w:val="0"/>
              </w:rPr>
              <w:t xml:space="preserve">) Valsts vides dienests A kategorijas darbībām var piešķirt atkāpes no ar labākajiem pieejamiem tehniskajiem paņēmieniem saistītiem vides snieguma līmeņiem vai vides snieguma robežvērtībām. Atkāpes piešķir, ja operators, pamatojoties uz normatīvajos aktos noteikto vides kvalitātes normatīvu, kā arī objekta ģeogrāfisko izvietojumu vai vietējiem vides apstākļiem vai tehnisko raksturojumu, veic izvērtējumu un pierāda, ka ar labāko pieejamo tehnisko paņēmienu saistīto vides snieguma līmeņu piemērošana var radīt būtiski negatīvo ietekmi uz vidi un nesamērīgi augstas izmaksas salīdzinājumā ar videi sniegto labumu.  Atkāpes rezultātā piemērotās vides snieguma robežvērtības vai vides snieguma līmeņi nedrīkst radīt nelabvēlīgu ietekmi uz vidi, tostarp ūdens resursu izsīkšanu, nodrošinot augstu vides aizsardzības līmeni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arī uz ietekmi starp vidēm, līdztekus negatīvajai ietekmei uz vidi un nesamērīgi augstām izmaksām, tādēļ aicinām papildināt likumprojektu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"(6</w:t>
            </w:r>
            <w:r w:rsidR="00000000" w:rsidRPr="00000000" w:rsidDel="00000000">
              <w:rPr>
                <w:vertAlign w:val="superscript"/>
                <w:rtl w:val="0"/>
              </w:rPr>
              <w:t xml:space="preserve">3</w:t>
            </w:r>
            <w:r w:rsidR="00000000" w:rsidRPr="00000000" w:rsidDel="00000000">
              <w:rPr>
                <w:rtl w:val="0"/>
              </w:rPr>
              <w:t xml:space="preserve">) Šā panta 6.</w:t>
            </w:r>
            <w:r w:rsidR="00000000" w:rsidRPr="00000000" w:rsidDel="00000000">
              <w:rPr>
                <w:vertAlign w:val="superscript"/>
                <w:rtl w:val="0"/>
              </w:rPr>
              <w:t xml:space="preserve">2</w:t>
            </w:r>
            <w:r w:rsidR="00000000" w:rsidRPr="00000000" w:rsidDel="00000000">
              <w:rPr>
                <w:rtl w:val="0"/>
              </w:rPr>
              <w:t xml:space="preserve"> daļā minēto atkāpi Valsts vides dienests var piešķirt uz laiku, kas nepārsniedz trīs mēnešus, ja netiek radīts būtisks piesārņojums un veikti visi pasākumi emisiju uzraudzībai. Ja pastāv apstākļi, kas bija pamatā atkāpes piešķiršanai, to pagarina uz laiku, kas nepārsniedz trīs mēnešus. Tiklīdz piegādes apstākļi ir atjaunoti vai ir rasts alternatīvs risinājums enerģijas un materiālu resursu piegādēm, iekārtas radītās emisijas atbilst atļaujas nosacījumiem, kas noteiktas saskaņā ar šā panta trešās un 3.</w:t>
            </w:r>
            <w:r w:rsidR="00000000" w:rsidRPr="00000000" w:rsidDel="00000000">
              <w:rPr>
                <w:vertAlign w:val="superscript"/>
                <w:rtl w:val="0"/>
              </w:rPr>
              <w:t xml:space="preserve">1 </w:t>
            </w:r>
            <w:r w:rsidR="00000000" w:rsidRPr="00000000" w:rsidDel="00000000">
              <w:rPr>
                <w:rtl w:val="0"/>
              </w:rPr>
              <w:t xml:space="preserve">daļas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norādi uz resursiem un aprīkojumu līdztekus enerģijai un materiāliem, ievērojot iepriekš 6.</w:t>
            </w:r>
            <w:r w:rsidR="00000000" w:rsidRPr="00000000" w:rsidDel="00000000">
              <w:rPr>
                <w:vertAlign w:val="superscript"/>
                <w:rtl w:val="0"/>
              </w:rPr>
              <w:t xml:space="preserve">2</w:t>
            </w:r>
            <w:r w:rsidR="00000000" w:rsidRPr="00000000" w:rsidDel="00000000">
              <w:rPr>
                <w:rtl w:val="0"/>
              </w:rPr>
              <w:t xml:space="preserve"> daļā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1) projekta iesniedzējs vai persona, kura ir projekta iesniedzēja valdes vai padomes loceklis vai prokūrists, vai persona, kura ir pilnvarota pārstāvēt projekta iesniedzēju, ir sodīta par tīšu noziedzīgu nodarījumu, ja sodāmība par to nav noņemta vai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visi izņēmumi vienādi attiecas uz atbalsta saņēmējiem un projekta iesniedzējiem, tādēļ lūdzam precizēt likumprojektu, salāgojot prasības, vai sniegt attiecīgu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vairākos gadījumos Ministru kabineta noteikumu izdošanai paredzēts vienāds termiņš, lūdzam attiecīgos pārejas noteikumus apvienot, nodrošinot pārskatāmāku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("piemēro 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norādi "3)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jo arī uz iepriekšējiem pārejas noteikumu apakšpunktiem attiecas 1. pielikuma sestās daļas 6.</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pants. </w:t>
            </w:r>
            <w:r w:rsidR="00000000" w:rsidRPr="00000000" w:rsidDel="00000000">
              <w:rPr>
                <w:rtl w:val="0"/>
              </w:rPr>
              <w:t xml:space="preserve">"Likuma "Par piesārņojumu" 1.</w:t>
            </w:r>
            <w:r w:rsidR="00000000" w:rsidRPr="00000000" w:rsidDel="00000000">
              <w:rPr>
                <w:vertAlign w:val="superscript"/>
                <w:rtl w:val="0"/>
              </w:rPr>
              <w:t xml:space="preserve">2</w:t>
            </w:r>
            <w:r w:rsidR="00000000" w:rsidRPr="00000000" w:rsidDel="00000000">
              <w:rPr>
                <w:rtl w:val="0"/>
              </w:rPr>
              <w:t xml:space="preserve"> pielikums</w:t>
            </w:r>
            <w:r w:rsidR="00000000" w:rsidRPr="00000000" w:rsidDel="00000000">
              <w:rPr>
                <w:rtl w:val="0"/>
              </w:rPr>
              <w:t xml:space="preserve">
</w:t>
            </w:r>
            <w:r w:rsidR="00000000" w:rsidRPr="00000000" w:rsidDel="00000000">
              <w:rPr>
                <w:b w:val="1"/>
                <w:rtl w:val="0"/>
              </w:rPr>
              <w:t xml:space="preserve">Mājputnu un cūku liellopu vienību noteikšanai piemērojamie koeficienti</w:t>
            </w:r>
            <w:r w:rsidR="00000000" w:rsidRPr="00000000" w:rsidDel="00000000">
              <w:rPr>
                <w:rtl w:val="0"/>
              </w:rPr>
              <w:t xml:space="preserve"> </w:t>
            </w:r>
            <w:r w:rsidR="00000000" w:rsidRPr="00000000" w:rsidDel="00000000">
              <w:rPr>
                <w:rtl w:val="0"/>
              </w:rPr>
              <w:t xml:space="preserve">Nosakot iekārtas jaudu, ja divas vai vairākas iekārtas atrodas tuvu viena otrai un ja tām ir viens un tas pats operators vai vairāki operatori, kas savstarpēji ir ekonomiski vai juridiski saistīti, šo iekārtu jaudu summē.  
</w:t>
            </w:r>
          </w:p>
          <w:tbl>
            <w:tblPr>
              <w:tblStyle w:val="DefaultTable"/>
              <w:bidiVisual w:val="0"/>
              <w:tblW w:w="129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
              <w:gridCol w:w="460"/>
              <w:gridCol w:w="371"/>
              <w:tblGridChange w:id="0">
                <w:tblGrid>
                  <w:gridCol w:w="8"/>
                  <w:gridCol w:w="460"/>
                  <w:gridCol w:w="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Dzīvnieks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Koeficients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Vaislas sivēnmāte (&gt; 50 kg)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Sivēni (līdz 20 kilogramiem)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Citas cūkas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Dējējvistas*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Broileri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Tītari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Pīles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Zosis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Strausi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Citi mājputni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0,001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 jaukta veida mājputnu audzēšanā (ieskaitot  dējējvistas) piemērojamais svēruma koeficients dējējvistām ir 0,93 ( 280 LLV/ 300 LLV)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jo korespondējošajā direktīvas vienībā vaislas sivēnmātei koeficients ir lielāks par </w:t>
            </w:r>
            <w:r w:rsidR="00000000" w:rsidRPr="00000000" w:rsidDel="00000000">
              <w:rPr>
                <w:u w:val="single"/>
                <w:rtl w:val="0"/>
              </w:rPr>
              <w:t xml:space="preserve">vai vienāds</w:t>
            </w:r>
            <w:r w:rsidR="00000000" w:rsidRPr="00000000" w:rsidDel="00000000">
              <w:rPr>
                <w:rtl w:val="0"/>
              </w:rPr>
              <w:t xml:space="preserve"> ar 50 kg.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pants. Aizstāt 2. pielikuma I. sadaļas tabulas 27. punktā vārdus "šo direktīvu" (attiecīgajā locījumā) ar vārdiem "šo likumu" (attiecīgajā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konkrētajā likuma normā arī aizstāt atsauci uz Parlamenta un Padomes 2009. gada 23. aprīļa direktīvu 2009/31/EK par oglekļa dioksīda ģeoloģisko uzglabāšanu un grozījumiem Padomes direktīvā 85/337/EEK, Eiropas Parlamenta un Padomes direktīvās 2000/60/EK, 2001/80/EK, 2004/35/EK, 2006/12/EK, 2008/1/EK un regulā (EK) Nr. 1013/2006, ar atsauci uz nacionālajiem normatīvajiem aktiem vai to jomu, ar kuriem minētās direktīvas prasības ir pārņemtas. 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šā likuma "Par piesārņojumu" 31. panta sestās daļas jauno redakciju", tomēr vēršam uzmanību, ka ar likumprojektu netiek minētā likuma vienība precizēta, tādēļ lūdzam attiecīgi precizēt sniegto informāciju vai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