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tālākai rīcībai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ministrijā tika saņemta Saeimas Budžeta un finanšu (nodokļu) komisijas 2023. gada 7. augusta vēstule Nr. 142.2.9/2-12-14/23, ar kuru Finanšu ministrija un Latvijas Banka tiek aicinātas izvērtēt situāciju finanšu tirgū saistībā ar strauji augošo EURIBOR etalona procentu likmi, kā arī pēc iespējas ātrāk rast nepieciešamos risinājumus un iesniegt Saeimas Budžeta un finanšu (nodokļu) komisijai priekšlikumus. Ņemot vērā minēto, Finanšu ministrija sadarbībā ar Latvijas Banku sniedz izvērtējumu un priekšlikumus par nepieciešamo tālāko rīcību.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etalona procentu likmju kāpums un tā ietekme uz kredītiestāžu peļņu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Kopš 2022. gada jūlija, kad Eiropas Centrālās bankas (turpmāk – ECB) Padome uzsāka bāzes procentu likmju celšanu, Latvijas kredītiestāžu peļņa ir palielinājusies, pieaugot tīro procentu ienākumiem, kuru pamatā ir strauji augoša kredītu procentu likme un atpaliekoša noguldījumu procentu likme (skat. 1.att.). Šīs asimetriskās naudas cenas transmisijas dēļ, kad kredītu procentu likmes cieši seko naudas cenai, bet noguldījumu procentu likmes iepaliek gan kredītiestāžu, gan noguldītāju lēnās reakcijas dēļ, starpība starp kredītu un noguldījumu procentu likmēm gada laikā ir pieaugusi no 3.2 procentpunktiem līdz 5.7 procentpunktiem, atstājot būtisku pozitīvu ietekmi uz kredītiestāžu pelnītspēju.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4543425" cy="2095499"/>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543425" cy="2095499"/>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Kredītu procentu ienākumus nosaka kredītņēmēju maksājumi par izsniegtajiem kredītiem, no kuriem aptuveni 90% ir ar procentu likmēm, kuras piesaistītas EURIBOR etalona procentu likmei. Tāpēc izsniegto kredītu procentu likmes pieaug līdz ar EURIBOR etalona indeksa pieaugumu, papildus kredītiestādēm piemērojot arī fiksētu pievienoto likmi. 2023. gada jūlijā kopējā vidējā svērtā rezidentu kredītu procentu likme sasniedza 6.31%. </w:t>
            </w:r>
            <w:r w:rsidR="00000000" w:rsidRPr="00000000" w:rsidDel="00000000">
              <w:rPr>
                <w:i w:val="1"/>
                <w:rtl w:val="0"/>
              </w:rPr>
              <w:t xml:space="preserve">Euro</w:t>
            </w:r>
            <w:r w:rsidR="00000000" w:rsidRPr="00000000" w:rsidDel="00000000">
              <w:rPr>
                <w:rtl w:val="0"/>
              </w:rPr>
              <w:t xml:space="preserve"> izteiksmē kopējie kredītu </w:t>
            </w:r>
            <w:r w:rsidR="00000000" w:rsidRPr="00000000" w:rsidDel="00000000">
              <w:rPr>
                <w:b w:val="1"/>
                <w:rtl w:val="0"/>
              </w:rPr>
              <w:t xml:space="preserve">procentu maksājumi</w:t>
            </w:r>
            <w:r w:rsidR="00000000" w:rsidRPr="00000000" w:rsidDel="00000000">
              <w:rPr>
                <w:rtl w:val="0"/>
              </w:rPr>
              <w:t xml:space="preserve"> kredītiestādēm no rezidentu mājsaimniecībām un nefinanšu sabiedrībām šā gada pirmajos septiņos mēnešos ir </w:t>
            </w:r>
            <w:r w:rsidR="00000000" w:rsidRPr="00000000" w:rsidDel="00000000">
              <w:rPr>
                <w:b w:val="1"/>
                <w:rtl w:val="0"/>
              </w:rPr>
              <w:t xml:space="preserve">pieauguši par 164 milj. </w:t>
            </w:r>
            <w:r w:rsidR="00000000" w:rsidRPr="00000000" w:rsidDel="00000000">
              <w:rPr>
                <w:b w:val="1"/>
                <w:i w:val="1"/>
                <w:rtl w:val="0"/>
              </w:rPr>
              <w:t xml:space="preserve">euro</w:t>
            </w:r>
            <w:r w:rsidR="00000000" w:rsidRPr="00000000" w:rsidDel="00000000">
              <w:rPr>
                <w:rtl w:val="0"/>
              </w:rPr>
              <w:t xml:space="preserve">[1], salīdzinot ar iepriekšējā gada atbilstošo periodu.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Turpretim, procentu izdevumus un kredītiestāžu finansējuma izmaksas galvenokārt veido procentu maksājumi noguldītājiem. Aptuveni 85% no kopējiem mājsaimniecību un nefinanšu sabiedrību noguldījumiem ir pieprasījuma noguldījumi, kuriem Latvijā kredītiestādes piemēro nulles vai nenozīmīgu procentu likmi (vidējā svērtā pieprasījuma noguldījumu likme 2023. gada jūlijā bija 0.26%). Savukārt piedāvātā procentu likme jauniem termiņnoguldījumiem ar 12 mēnešu termiņu vairumā kredītiestāžu ir sasniegusi 3.8%, un vidējā svērtā termiņnoguldījumu atlikumu likme ir pieaugusi līdz 3%. Tomēr noguldītāju līdzekļu pārvirzīšana no pieprasījuma uz termiņnoguldījumiem notiek lēni, un termiņnoguldījumi veido tikai 11% no kopējā noguldījumu portfeļa, tāpēc vidējā svērtā kopējā noguldījumu procentu likme 2023. gada jūlijā sasniedza tikai 0.64%.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Rezultātā, lai arī kopējais noguldījumu portfelis ir pusotru reizi lielāks par izsniegto kredītu portfeli, </w:t>
            </w:r>
            <w:r w:rsidR="00000000" w:rsidRPr="00000000" w:rsidDel="00000000">
              <w:rPr>
                <w:b w:val="1"/>
                <w:rtl w:val="0"/>
              </w:rPr>
              <w:t xml:space="preserve">maksājumi mājsaimniecībām un nefinanšu sabiedrībām par to noguldījumiem </w:t>
            </w:r>
            <w:r w:rsidR="00000000" w:rsidRPr="00000000" w:rsidDel="00000000">
              <w:rPr>
                <w:rtl w:val="0"/>
              </w:rPr>
              <w:t xml:space="preserve">kredītiestādēs </w:t>
            </w:r>
            <w:r w:rsidR="00000000" w:rsidRPr="00000000" w:rsidDel="00000000">
              <w:rPr>
                <w:i w:val="1"/>
                <w:rtl w:val="0"/>
              </w:rPr>
              <w:t xml:space="preserve">euro</w:t>
            </w:r>
            <w:r w:rsidR="00000000" w:rsidRPr="00000000" w:rsidDel="00000000">
              <w:rPr>
                <w:rtl w:val="0"/>
              </w:rPr>
              <w:t xml:space="preserve"> izteiksmē šā gada pirmajos septiņos mēnešos ir </w:t>
            </w:r>
            <w:r w:rsidR="00000000" w:rsidRPr="00000000" w:rsidDel="00000000">
              <w:rPr>
                <w:b w:val="1"/>
                <w:rtl w:val="0"/>
              </w:rPr>
              <w:t xml:space="preserve">pieauguši tikai par 30 milj. </w:t>
            </w:r>
            <w:r w:rsidR="00000000" w:rsidRPr="00000000" w:rsidDel="00000000">
              <w:rPr>
                <w:b w:val="1"/>
                <w:i w:val="1"/>
                <w:rtl w:val="0"/>
              </w:rPr>
              <w:t xml:space="preserve">euro</w:t>
            </w:r>
            <w:r w:rsidR="00000000" w:rsidRPr="00000000" w:rsidDel="00000000">
              <w:rPr>
                <w:rtl w:val="0"/>
              </w:rPr>
              <w:t xml:space="preserve">, salīdzinot ar iepriekšējā gada atbilstošo periodu, kas ir vairāk kā piecas reizes mazāks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Procentu likmju etalona EURIBOR piemērošana kredītu līgumos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EURIBOR etalona procentu likmju piemērošana izriet no jau noslēgtiem līgumiem, tā ir likumīga, atbilstoša starptautiskajai praksei un plaši tiek piemērota vairākās Eiropas Savienības dalībvalstīs. Tomēr valstu starpā atšķiras prakse attiecībā uz procentu likmes fiksācijas periodiem un fiksēto procentu likmju īpatsvaru kredītiestāžu kredītu portfeļos. Latvijas gadījumā kredītiestāžu izsniegtie aizdevumi galvenokārt ir saistīti ar īstermiņa (galvenokārt 3 vai 6 mēnešu) EURIBOR etalona procentu likmi. EURIBOR etalona procentu likmei piesaistīti aptuveni 90% no kredītiestāžu izsniegtajiem hipotekārajiem kredītiem mājsaimniecībām.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Pat, ja EURIBOR etalona procentu likme šobrīd tiešā veidā neraksturo kredītiestāžu finansēšanās izmaksas, pastāv ekonomisks pamatojums, kādēļ kredītu cenai būtu jābūt cieši saistītai ar naudas cenu, ko raksturo EURIBOR etalona procentu likmes. Naudas cena atspoguļojas visu finanšu aktīvu klašu ienesīgumā. Tas attiecas arī uz ļoti zema riska aktīviem, piemēram, valstu obligācijām. Pašreiz Latvijas valdības 10 gadu obligācijas ienesīguma likme ir aptuveni 4%, kas ir tuva ECB noteiktajām procentu likmēm. Savukārt kredīti pieder pie riskantākas aktīvu klases, salīdzinot ar valdību obligācijām, tāpēc ir saprotams, ka to ienesīguma procentu likmei būtu jābūt augstākai. Līdz ar to secināms, ka EURIBOR etalona procentu likmes piemērošana hipotekārajiem kredītiem papildus kredītiestādes noteiktajai pievienotajai likmei ir tiesiska un nav uzskatāma par negodīgu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kāpuma ietekme uz kredītņēmējiem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Latvijas Bankas mājsaimniecību – kredītņēmēju aptaujā iegūtajiem datiem un aplēsēm, to mājsaimniecību-kredītņēmēju, kurām parāda apkalpošanas izdevumu un neto ienākumu attiecība pieaug vismaz līdz 40%, ja visu termiņu EURIBOR etalona procentu likmes sasniedz 4.0%, īpatsvars kopējā mājsaimniecību-kredītņēmēju skaitā ir 3.2%.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Procentu likmju pieauguma un patēriņa cenu kāpuma kopējā ietekme ir daudz nelabvēlīgāka. Saskaņā ar Latvijas Bankas aplēsēm to mājsaimniecību-kredītņēmēju, kurām parāda apkalpošanas izdevumu un neto ienākumu[2] attiecība pieaug vismaz līdz 40%, ja visu termiņu EURIBOR etalona procentu likmes sasniedz 4.0% un mājsaimniecību izdevumi 2023. gadā pieaug vidēji par 10.0%, īpatsvars kopējā mājsaimniecību-kredītņēmēju skaitā ir līdz[3]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jānorāda arī tas, ka šī brīža situācija nav tieši salīdzināma ar situāciju 2010. un 2011. gadā, kad bija vērojams būtisks iedzīvotāju emigrācijas pieaugums. Toreiz krīzi pamatā izraisīja pārmērīga un nepārdomāta aizņemšanās, kur kredītu atlikums īsā laika posmā pietuvojās IKP apjomam. Savukārt pašlaik kredītu atlikums pret IKP ir krietni zemāks, kredītiestāžu kreditēšanas politika konservatīvāka, un kredīti ir izsniegti krietni kredītspējīgākiem aizņēmējiem, par ko liecina vairāk kā desmitkārt labāki kredītu kvalitātes rādītāji par spīti nesen piedzīvotajiem pandēmijas, ģeopolitiskajiem un energoresursu cenu šoka satricinājumiem. Proti, kredītu maksājumu kavējumi (virs 90 dienām) 2010. un 2011. gadā bija tuvu 20%, kamēr šobrīd tie ir vien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ekonomika šobrīd ir būtiski spēcīgāka, nodrošinot darba iespējas iedzīvotājiem un strauju ienākumu pieaugumu. Ekonomikas apmērs 2010. un 2011. gadā bija par aptuveni 20% zemāks nekā 2007. gadā pirms krīzes, kamēr šobrīd joprojām sagaidām, lai gan mērenu, bet tomēr ekonomikas izaugsmi. Bezdarba rādītājs 2010. un 2011. gados svārstījās 15-20% robežās, bet šobrīd tas ir tuvu vēsturiski zemākajam līmenim (6.4%). Arī darba algu jomā, ja 2010. gada sākumā redzējām vidējās neto algas sarukumu par aptuveni 12%, tad šobrīd ir vērojams līdzvērtīgs algu pieaugums. Ņemot vērā minētos apstākļus, nevar piekrist  apgalvojumam, ka no Latvijas atkal nesamaksājamu kredītu dēļ aizbrauks desmitiem tūkstošu darbspējīgo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u w:val="single"/>
                <w:rtl w:val="0"/>
              </w:rPr>
              <w:t xml:space="preserve">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 un Latvijas Banka, ņemot vērā EURIBOR etalona procentu likmes strauju paaugstinājumu, jau ilgāku laiku seko līdzi situācijai finanšu sektorā un kredītņēmēju spējai segt savas hipotekārā kredīta saistības. Atbalstāma ir diskusija par nepieciešamiem atbalsta pasākumiem kredītņēmējiem, meklējot esošajai situācijai atbilstošākos instrumentus. Finanšu ministrija un Latvijas Banka ir arī aktīvi veidojušas dialogu ar kredītiestādēm, aicinot tās būt sociāli atbildīgām.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pašreizējās norises finanšu sektorā, ir svarīgi, lai īstermiņa risinājumi nerada negatīvas sekas ilgtspējīgai ekonomikas un finanšu sistēmas attīstībai. Būtiska nozīme situācijas risināšanā ir konkurences veicināšanai un investoru piesaistei kredītiestāžu jomā. Taču bažas raisa iniciatīvas, kas var pasliktināt konkurences apstākļus, radot neprognozējamu uzņēmējdarbības vidi. Tas, savukārt, nozīmētu mazāk pieejamus finanšu pakalpojumus ar daudz sliktākiem nosacījumiem Latvijas iedzīvotājiem un uzņēmējiem.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Horizontāli risinājumi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Saeimas Budžeta un finanšu (nodokļu) komisijas sēdē tika ierosināti trīs iespējami horizontāli risinājumi: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EURIBOR etalona procentu likmes piemērošanas griestus vai likumā aizstāt EURIBOR etalona procentu likmi ar citu etalona likmi uz noteiktu laiku;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ka kredītiestādes pievienotā likme uz noteiktu laiku netiek piemērota;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noteiktu laiku ierobežot maksimālo kredītiem piemērojamo procentu likmi.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arī šādi piedāvātie risinājumi būtu izdevīgi lielai daļai kredītņēmēju, un tiem nav tūlītēja fiskāla ietekme, Finanšu ministrija un Latvijas Banka šādu pieeju neatbalsta. Iespējamie atbalsta mehānismi būtu jāveido fokusēti, ņemot vērā kredītņēmēja ienākumu līmeni un kredītu slogu, sniedzot atbalstu sociāli ievainojamākajām sabiedrības grupām.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komisijas sēdē rosinātajiem horizontālajiem risinājumiem piemīt būtiski riski, tai skaitā:</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Eiropas Komisijas nostājai, ka augstas inflācijas apstākļos atbalsts ir mērķēts, ieviests uz laiku un attiecas  uz visievainojamākajām sabiedrības grupām;</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netiek ņemta vērā mājsaimniecību maksātspēja un nepieciešamība pēc atbalsta;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neskar kredītņēmējus ar fiksētām likmēm un ārpus kredītiestādēm izsniegtos kredītus;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normatīvajam regulējumam, kas nosaka kredītiestāžu prudenciālo uzraudzības un patērētāju aizsardzības ietvaru;</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augsts tiesvedības risks – negatīvas tiesvedības rezultātā valstij būs jāuzņemas risku atlīdzināt zaudējumus (~160 milj. </w:t>
            </w:r>
            <w:r w:rsidR="00000000" w:rsidRPr="00000000" w:rsidDel="00000000">
              <w:rPr>
                <w:i w:val="1"/>
                <w:rtl w:val="0"/>
              </w:rPr>
              <w:t xml:space="preserve">euro</w:t>
            </w:r>
            <w:r w:rsidR="00000000" w:rsidRPr="00000000" w:rsidDel="00000000">
              <w:rPr>
                <w:rtl w:val="0"/>
              </w:rPr>
              <w:t xml:space="preserve"> vai vairāk, ja visiem kredītņēmējiem tiek piemērots risinājums ar kredītiestādes pievienotās likmes nepiemērošanu), jo aizliedz kredītiestādēm pildīt spēkā esošu līgumu nosacījumus;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ieviešot kādu no risinājumiem, sagaidāms starptautisku institūciju un reitingu aģentūru negatīvs vērtējums par to;</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negatīva ietekme uz investīciju vidi un hipotekāro kreditēšanu nākotnē – kredītu pieejamība un cena;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normatīvā aktā regulējot hipotekāro kredītu ienesīgumu, kredītiestāžu brīvie resursi var tikt pārvirzīti uz citiem zema riska instrumentiem, saņemot to pašu vai lielāku ienesīgumu (valsts vērtspapīri u.c.);</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sabiedrībā iesakņojas gaidas, ka negatīvas tirgus svārstības kompensēs valsts.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 20. septembra sēdē kā atbilstošāko iespējamo risinājumu  izvēlējās Polijā ieviesto mehānismu kredītņēmēju aizsardzībai. Proti, lai risinātu straujo procentu likmju kāpumu, Polija ir ieviesusi normatīvo regulējumu, kas paredz tiesības kredītņēmējam pieprasīt “kredīta brīvdienas” – pārtraukt kredīta pamatsummas un procentu maksājumus, par attiecīgo laiku pagarinot kredīta atmaksas termiņu. Saskaņā ar Polijas izveidoto atbalsta mehānismu hipotekārā kredīta aizņēmējam ir tiesības pieprasīt kredītiestādei “kredīta brīvdienas” – divus mēnešus katrā laikposmā no 2022. gada 1. augusta līdz 30. septembrim un no 2022. gada 1. oktobra līdz 31. decembrim un vienu mēnesi katrā ceturksnī laikposmā no 2023. gada 1. janvāra līdz 31. decembrim – kopā astoņus mēnešus. Atbalstu var saņemt jebkurš kredītņēmējs, kuram ir nacionālajā valūtā zlotos izsniegts hipotekārais mājokļa kredīts.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ECB 2023. gada 20. martā ir sniegusi atzinumu (CON/2023/8) par Polijas apstiprināto normatīvo regulējumu[4] un izteikusi negatīvu vērtējumu par Polijas ieviesto risinājumu, paužot bažas par šāda normatīvā regulējuma ietekmi uz finanšu stabilitāti, kā arī aicinot Poliju apsvērt ieviest mērķētus atbalsta piešķiršanas kritērijus.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Polijas ieviestais atbalsta mehānisms hipotekāro kredītu ņēmējiem rada šādus riskus finanšu stabilitātei: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stimulē kredīta termiņu pagarināšanu, nevis ātrāku to atmaksu;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vājina kredītstandartus kredītiestādēs;</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var radīt grūtības kredītiestādēm piesaistīt investorus minimālā pamatkapitāla prasību nodrošināšanai vai obligāciju emisijai;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kredītiestādēm radītie zaudējumi nākotnē var tikt pārnesti uz no jauna izsniedzamajiem kredītiem;</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mazina kredītiestāžu rentabilitāti, kas nozīmē samazinātu kredītiestāžu spēju saglabāt ieņēmumus un palielināt kapitālu, kas nepieciešams zaudējumu segšanai un jaunu kredītu izsniegšanai nākotnē, potenciāli arī samazinot nākotnes iemaksas nodokļu ieņēmumus valsts budžetā;</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zaudējumu apmērs, ko šādas “kredīta brīvdienas” radītu, var apdraudēt kredītiestāžu maksātspēju.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ir jāņem vārā tas, ka arī Latvijai jebkādi piedāvātie risinājumi, kas skar finanšu stabilitāti un vērsti uz hipotekāro kredītu procentu likmju ierobežošanu, būs jāapspriež ar Eiropas Centrālo banku, saskaņā ar Līguma par Eiropas Savienības darbību 127. panta 4. punktu un  Līguma par Eiropas Savienības darbību 4. protokola "Par Eiropas Centrālo banku sistēmas Statūtiem un Eiropas Centrālās bankas Statūtiem"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Mērķēts atbalsts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ministrijas ieskatā šajā situācijā, tostarp ņemot vērā to, ka potenciāli ietekmētās mājsaimniecības ir vien 1,6% no visām Latvijas mājsaimniecībām, visatbilstošākais būtu </w:t>
            </w:r>
            <w:r w:rsidR="00000000" w:rsidRPr="00000000" w:rsidDel="00000000">
              <w:rPr>
                <w:b w:val="1"/>
                <w:rtl w:val="0"/>
              </w:rPr>
              <w:t xml:space="preserve">īstenot mērķētu atbalstu tām mājsaimniecībām, kurām ir būtiski pieauguši kredīta maksājumi</w:t>
            </w:r>
            <w:r w:rsidR="00000000" w:rsidRPr="00000000" w:rsidDel="00000000">
              <w:rPr>
                <w:rtl w:val="0"/>
              </w:rPr>
              <w:t xml:space="preserve">:</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ALTUM mērķēta atbalsta programma, kas ļautu kapitalizēt daļu kredīta procentu maksājumus, piesaistot papildu garantiju no ALTUM un tādējādi samazinot ikmēneša maksājumu;</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sniegt mērķētu palīdzību pieejamo sociālās palīdzības instrumentu ietvaros;</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laiku iekļaut hipotekāro kredītu procentu maksājumus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ALTUM mērķētā atbalsta programma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ALTUM programmas mērķis ir sniegt atbalstu kredītņēmējiem, kuri pieaugošās EURIBOR etalona procentu likmes dēļ nevar veikt aizņēmuma procentu maksājumus pilnā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Piedāvātais risinājums paredz iespēju kredītiestādēm kapitalizēt aizdevuma procentus (palielina aizdevuma kopējo summu), ko klientam ar pašreizējo EURIBOR etalona procentu likmi ir apgrūtinoši samaksāt (piemēram, par to EURIBOR etalona daļu, kas pārsniedz 2%). Ar ALTUM piešķirto bezmaksas garantiju, daļa procentu tiek kapitalizēta un aizņēmējs līdz 3 gadiem veic ikmēneša maksājumus mazākā apjomā atbilstoši savai maksātspējai un finanšu apstākļiem. ALTUM garantijai ar kredītiestāžu starpniecību var pieteikties 12 mēnešus no programmas uzsākšanas.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Latvijas Bankas aplēsei 2024. gada sākumā līdz 11.9% mājsaimniecību parāda apkalpošanas un ienākumu attiecība DSTI (</w:t>
            </w:r>
            <w:r w:rsidR="00000000" w:rsidRPr="00000000" w:rsidDel="00000000">
              <w:rPr>
                <w:i w:val="1"/>
                <w:rtl w:val="0"/>
              </w:rPr>
              <w:t xml:space="preserve">debt service to income ratio</w:t>
            </w:r>
            <w:r w:rsidR="00000000" w:rsidRPr="00000000" w:rsidDel="00000000">
              <w:rPr>
                <w:rtl w:val="0"/>
              </w:rPr>
              <w:t xml:space="preserve">) varētu pārsniegt ar cenām koriģētu DSTI 40% slieksni. Šīm mājsaimniecībām izsniegto mājokļu kredītu skaits būtu 15 tūkstoši, bet kopējais kredītu atlikums 563 milj. </w:t>
            </w:r>
            <w:r w:rsidR="00000000" w:rsidRPr="00000000" w:rsidDel="00000000">
              <w:rPr>
                <w:i w:val="1"/>
                <w:rtl w:val="0"/>
              </w:rPr>
              <w:t xml:space="preserve">euro</w:t>
            </w:r>
            <w:r w:rsidR="00000000" w:rsidRPr="00000000" w:rsidDel="00000000">
              <w:rPr>
                <w:rtl w:val="0"/>
              </w:rPr>
              <w:t xml:space="preserve"> (vidējais kredīta atlikums 37 500 </w:t>
            </w:r>
            <w:r w:rsidR="00000000" w:rsidRPr="00000000" w:rsidDel="00000000">
              <w:rPr>
                <w:i w:val="1"/>
                <w:rtl w:val="0"/>
              </w:rPr>
              <w:t xml:space="preserve">euro</w:t>
            </w:r>
            <w:r w:rsidR="00000000" w:rsidRPr="00000000" w:rsidDel="00000000">
              <w:rPr>
                <w:rtl w:val="0"/>
              </w:rPr>
              <w:t xml:space="preserve">). Minētās mājsaimniecības gadā aizdevumu procentu maksājumos, t.sk. ņemot vērā EURIBOR etalona procentu likmi, samaksās 35-38 milj. </w:t>
            </w:r>
            <w:r w:rsidR="00000000" w:rsidRPr="00000000" w:rsidDel="00000000">
              <w:rPr>
                <w:i w:val="1"/>
                <w:rtl w:val="0"/>
              </w:rPr>
              <w:t xml:space="preserve">euro</w:t>
            </w:r>
            <w:r w:rsidR="00000000" w:rsidRPr="00000000" w:rsidDel="00000000">
              <w:rPr>
                <w:rtl w:val="0"/>
              </w:rPr>
              <w:t xml:space="preserve">, bet trīs gados līdz 116 milj. </w:t>
            </w:r>
            <w:r w:rsidR="00000000" w:rsidRPr="00000000" w:rsidDel="00000000">
              <w:rPr>
                <w:i w:val="1"/>
                <w:rtl w:val="0"/>
              </w:rPr>
              <w:t xml:space="preserve">euro</w:t>
            </w:r>
            <w:r w:rsidR="00000000" w:rsidRPr="00000000" w:rsidDel="00000000">
              <w:rPr>
                <w:rtl w:val="0"/>
              </w:rPr>
              <w:t xml:space="preserve">. Programma līdzīgi kā pašreizējā ALTUM mājokļu garantiju programma ļautu izsniegt garantijas septiņas reizes vairāk par pieejamo finansējumu. ALTUM programmu var īstenot, vai nu pilnībā garantējot kapitalizēto procentu portfeli, vai arī sniedzot segumu nepilnā apmērā, piemēram, 30% no visiem kapitalizētajiem procentiem:</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100% apmērā visu kapitalizēto procentu portfeli (116 milj. </w:t>
            </w:r>
            <w:r w:rsidR="00000000" w:rsidRPr="00000000" w:rsidDel="00000000">
              <w:rPr>
                <w:i w:val="1"/>
                <w:rtl w:val="0"/>
              </w:rPr>
              <w:t xml:space="preserve">euro</w:t>
            </w:r>
            <w:r w:rsidR="00000000" w:rsidRPr="00000000" w:rsidDel="00000000">
              <w:rPr>
                <w:rtl w:val="0"/>
              </w:rPr>
              <w:t xml:space="preserve">), tad nepieciešamais publiskais finansējums ir aptuveni 17,1 milj. </w:t>
            </w:r>
            <w:r w:rsidR="00000000" w:rsidRPr="00000000" w:rsidDel="00000000">
              <w:rPr>
                <w:i w:val="1"/>
                <w:rtl w:val="0"/>
              </w:rPr>
              <w:t xml:space="preserve">euro</w:t>
            </w:r>
            <w:r w:rsidR="00000000" w:rsidRPr="00000000" w:rsidDel="00000000">
              <w:rPr>
                <w:rtl w:val="0"/>
              </w:rPr>
              <w:t xml:space="preserve">, ko 5,4 milj. </w:t>
            </w:r>
            <w:r w:rsidR="00000000" w:rsidRPr="00000000" w:rsidDel="00000000">
              <w:rPr>
                <w:i w:val="1"/>
                <w:rtl w:val="0"/>
              </w:rPr>
              <w:t xml:space="preserve">euro</w:t>
            </w:r>
            <w:r w:rsidR="00000000" w:rsidRPr="00000000" w:rsidDel="00000000">
              <w:rPr>
                <w:rtl w:val="0"/>
              </w:rPr>
              <w:t xml:space="preserve"> apmērā var segt ALTUM, bet papildus nepieciešams publiskais finansējums risku segumam 11,7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līdz 30% no kapitalizēto procentu portfeļa (35 milj. </w:t>
            </w:r>
            <w:r w:rsidR="00000000" w:rsidRPr="00000000" w:rsidDel="00000000">
              <w:rPr>
                <w:i w:val="1"/>
                <w:rtl w:val="0"/>
              </w:rPr>
              <w:t xml:space="preserve">euro</w:t>
            </w:r>
            <w:r w:rsidR="00000000" w:rsidRPr="00000000" w:rsidDel="00000000">
              <w:rPr>
                <w:rtl w:val="0"/>
              </w:rPr>
              <w:t xml:space="preserve">), tad nepieciešamais finansējums būtu 5,4 milj. </w:t>
            </w:r>
            <w:r w:rsidR="00000000" w:rsidRPr="00000000" w:rsidDel="00000000">
              <w:rPr>
                <w:i w:val="1"/>
                <w:rtl w:val="0"/>
              </w:rPr>
              <w:t xml:space="preserve">euro</w:t>
            </w:r>
            <w:r w:rsidR="00000000" w:rsidRPr="00000000" w:rsidDel="00000000">
              <w:rPr>
                <w:rtl w:val="0"/>
              </w:rPr>
              <w:t xml:space="preserve">, ko iespējams segt no ALTUM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Šīs programmas ietvaros būtu iespējams atbalstīt ~ 15 000 aizņēmējus.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Hipotekāro kredītprocentu maksājumu terminēta iekļaušana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īstenotu mērķētu atbalstu tām Latvijas mājsaimniecībām, kurām ir būtiski pieauguši kredīta maksājumi, viens no iespējamajiem risinājumiem ir izstrādāt likumprojektu “Grozījumi likumā “Par iedzīvotāju ienākuma nodokli”, paredzot ieviest terminētu pasākumu uz diviem gadiem – 2023. un 2024. gadu. Pasākuma ietvaros iedzīvotāju ienākuma nodokļa (turpmāk – IIN) maksātājs IIN attaisnotajos izdevumos, papildus jau spēkā esošajam attaisnoto izdevumu apmēram (600 </w:t>
            </w:r>
            <w:r w:rsidR="00000000" w:rsidRPr="00000000" w:rsidDel="00000000">
              <w:rPr>
                <w:i w:val="1"/>
                <w:rtl w:val="0"/>
              </w:rPr>
              <w:t xml:space="preserve">euro</w:t>
            </w:r>
            <w:r w:rsidR="00000000" w:rsidRPr="00000000" w:rsidDel="00000000">
              <w:rPr>
                <w:rtl w:val="0"/>
              </w:rPr>
              <w:t xml:space="preserve">)  varētu iekļaut savus veiktos hipotekāro kredītu procentu maksājumus par mājokli (t.sk. dzīvokli, māju, kredītu mājas būvniecībai) apmērā līdz 2 000 </w:t>
            </w:r>
            <w:r w:rsidR="00000000" w:rsidRPr="00000000" w:rsidDel="00000000">
              <w:rPr>
                <w:i w:val="1"/>
                <w:rtl w:val="0"/>
              </w:rPr>
              <w:t xml:space="preserve">eur</w:t>
            </w:r>
            <w:r w:rsidR="00000000" w:rsidRPr="00000000" w:rsidDel="00000000">
              <w:rPr>
                <w:rtl w:val="0"/>
              </w:rPr>
              <w:t xml:space="preserve">o gadā. Minētais ierobežojums tiktu noteikts, ņemot vērā Latvijas Bankas informāciju, ka vidējais procentu maksājumu apjoms uz vienu kredītu ir 164 </w:t>
            </w:r>
            <w:r w:rsidR="00000000" w:rsidRPr="00000000" w:rsidDel="00000000">
              <w:rPr>
                <w:i w:val="1"/>
                <w:rtl w:val="0"/>
              </w:rPr>
              <w:t xml:space="preserve">euro</w:t>
            </w:r>
            <w:r w:rsidR="00000000" w:rsidRPr="00000000" w:rsidDel="00000000">
              <w:rPr>
                <w:rtl w:val="0"/>
              </w:rPr>
              <w:t xml:space="preserve"> mēnesī, savukārt vidējais procentu maksājumu apjoms uz vienu aizņēmēju – 151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normatīvais regulējums būtu piemērojams hipotekāro kredītu maksājumiem, kas veikti, sākot ar 2023. gada 1. janvāri, t.i., attiecīgais regulējums tiktu piemērots ar atpakaļvērstu spēku un būtu maksimāli labvēlīgs nodokļu maksātājiem. Atbilstoši Latvijas Bankas sniegtajai informācijai kopējais izsniegto mājokļu hipotekāro kredītu skaits ir 127,2 tūkst., kopējais personu skaits, kam izsniegti mājokļu hipotekārie kredīti – 138,6 tūkst. Minētā risinājuma fiskālā ietekme novērtēta ~ 47,6 milj. </w:t>
            </w:r>
            <w:r w:rsidR="00000000" w:rsidRPr="00000000" w:rsidDel="00000000">
              <w:rPr>
                <w:i w:val="1"/>
                <w:rtl w:val="0"/>
              </w:rPr>
              <w:t xml:space="preserve">euro</w:t>
            </w:r>
            <w:r w:rsidR="00000000" w:rsidRPr="00000000" w:rsidDel="00000000">
              <w:rPr>
                <w:rtl w:val="0"/>
              </w:rPr>
              <w:t xml:space="preserve"> IIN atmaksu pieaugumā par vienu gadu (kredītņēmēji ar apgādībā esošām personām un līdz 1 000 </w:t>
            </w:r>
            <w:r w:rsidR="00000000" w:rsidRPr="00000000" w:rsidDel="00000000">
              <w:rPr>
                <w:i w:val="1"/>
                <w:rtl w:val="0"/>
              </w:rPr>
              <w:t xml:space="preserve">euro</w:t>
            </w:r>
            <w:r w:rsidR="00000000" w:rsidRPr="00000000" w:rsidDel="00000000">
              <w:rPr>
                <w:rtl w:val="0"/>
              </w:rPr>
              <w:t xml:space="preserve"> mēnešalgai šādu atbalstu nevarēs izmantot pilnā apmērā, līdz ar to ietekmes apmērs varētu būt arī mazāks).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jāņem vērā, ka nodokļa maksātājs attaisnotos izdevumus varēs piemērot tikai tad, ja taksācijas gada laikā ir guvis ar IIN apliekamus ienākumus. Tāpat būtiski, ka nodokļa maksātājs IIN atmaksas veidā atgūst tikai 20% no attaisnoto izdevumu apmēru (t.i., ja attaisnotajos izdevumos iekļaus 2 000 </w:t>
            </w:r>
            <w:r w:rsidR="00000000" w:rsidRPr="00000000" w:rsidDel="00000000">
              <w:rPr>
                <w:i w:val="1"/>
                <w:rtl w:val="0"/>
              </w:rPr>
              <w:t xml:space="preserve">euro</w:t>
            </w:r>
            <w:r w:rsidR="00000000" w:rsidRPr="00000000" w:rsidDel="00000000">
              <w:rPr>
                <w:rtl w:val="0"/>
              </w:rPr>
              <w:t xml:space="preserve">, IIN atmaksas veidā būs iespējams atgūt 400 </w:t>
            </w:r>
            <w:r w:rsidR="00000000" w:rsidRPr="00000000" w:rsidDel="00000000">
              <w:rPr>
                <w:i w:val="1"/>
                <w:rtl w:val="0"/>
              </w:rPr>
              <w:t xml:space="preserve">eur</w:t>
            </w:r>
            <w:r w:rsidR="00000000" w:rsidRPr="00000000" w:rsidDel="00000000">
              <w:rPr>
                <w:rtl w:val="0"/>
              </w:rPr>
              <w:t xml:space="preserve">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nodokļa administrēšanas procesu padarītu iespējami efektīvāku, būtu nosakāms, ka kredītiestādes līdz pēctaksācijas gada 1. februārim Valsts ieņēmumu dienestam (turpmāk – VID) sniedz informāciju par fizisko personu taksācijas gada laikā veiktajiem hipotekāro kredītu procentu maksājumiem par mājokli. Ja hipotekārais kredīts ir ņemts citas Eiropas Savienības dalībvalsts vai Eiropas Ekonomikas zonas valsts kredītiestādē, nodokļa maksātājam hipotekārā kredīta procentu maksājumus par mājokli apliecinošus dokumentus VID ir jāiesniedz pašam.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Hipotekāro kredītu procentu maksājumus par mājokli attaisnotajos izdevumos varētu iekļaut tikai kārtējā taksācijas gadā un – līdzīgi kā iemaksas privātajos pensiju fondos un apdrošināšanas prēmiju maksājumu – nevarētu dalīt starp ģimenes locekļiem vai pārnest uz nākamajiem taksācijas gadiem.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Jāvērš uzmanība arī uz to, ka tad, ja attaisnotos izdevumus vēlas noteikt mērķētākus, piemēram, piemērot tikai konkrētām iedzīvotāju grupām, atvieglojuma fiskālā ietekme var samazināties, taču pieaugs iedzīvotāju ienākuma nodokļa administrēšanas izdevumi (rodas nepieciešamība ieguldīt papildu manuālo darbu deklarāciju apstrāde, papildu izdevumi programatūrai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Kredītiestāžu nodokļu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situāciju ar kredītiestāžu netipiski straujo peļņas kāpumu, Finanšu ministrija ir izstrādājusi un uzsākusi saskaņošanu likumprojektam “Grozījumi Uzņēmumu ienākuma nodokļa likumā” (TA lieta Nr. 23-TA-2277), kas paredz noteikt kredītiestādēm un patērētāju kreditēšanas pakalpojumu sniedzējiem pienākumu veikt uzņēmumu ienākuma nodokļa samaksu 20% apmērā par pirmstaksācijas gadā gūto peļņu, neatkarīgi no tā, vai tiek veikta šīs peļņas sadale. Plānots, ka likumprojektā ietvertais regulējums attieksies uz kredītiestāžu 2023. gada peļņu, un plānotie ienākumi valsts budžetā prognozēti līdz 140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sadarbībā ar Latvijas Banku turpinās darbu pie vispiemērotākā risinājuma izstrādes, kas fokusēts uz sociāli ievainojamākajām mājsaimniecībām, kā arī ilgtermiņā neapdraud investīciju vidi un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Avots: Latvijas Banka, Statistiskie dati par kredītiestāžu un citu monetāro finanšu iestāžu finansiālo stāvokli.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Lai hipotētiski parādītu, kā ikdienas izdevumu pieaugums papildus apgrūtina mājsaimniecību spēju veikt norēķinus par kredītsaistībām, ienākumi samazināti par apmēru, ar kādu pieauguši attiecīgās mājsaimniecības izdevumi cenu kāpuma dēļ. Šāda ienākumu korekcija nav tipiska un neatspoguļo kredītiestāžu standarta pieeju parāda apkalpošanas izmaksu pret ienākumu vērtēšanā.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Aprēķins veikts, pieņemot, ka mājsaimniecības nemaina savus patēriņa ieradumus. Ja nozīmīgs skaits mājsaimniecību spēj samazināt savus izdevumus, tad patiesais mājsaimniecību īpatsvars ar pārmērīgu parāda slogu ir zemāks. Tādējādi aprēķinātais mājsaimniecību īpatsvars uztverams kā mājsaimniecību īpatsvara augšējā robeža.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OPINION OF THE EUROPEAN CENTRAL BANK of 20 March 2023  on mortgage holidays (CON/2023/8). Pieejams: https://eur-lex.europa.eu/legal-content/EN/TXT/PDF/?uri=CELEX:52023AB0008&amp;qid=1694070675472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sadaļā "Mērķēts atbalsts" - neatbalstām pēdējo priekšlikumu: "3) uz laiku iekļaut hipotekāro kredītu procentu maksājumus iedzīvotāju ienākuma nodokļa attaisnotajos izdevumos.", jo minētais priekšlikums nav mērķēts un tam piemīt virkne no būtiskajiem riskiem, kas vēstulē minēti attiecībā uz Budžeta un finanšu (nodokļu) komisijas piedāvātajiem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rosināt svītrot minēto priekšlikumu, kā arī to paskaidrojošo sadaļu vēstulē: "Hipotekāro kredītprocentu maksājumu terminēta iekļaušana iedzīvotāju ienākuma nodokļa attaisnotajos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Elmārs Zakulis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25.09.2023.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25.09.2023.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Atzinumi_23-TA-2380.docx</dc:title>
</cp:coreProperties>
</file>

<file path=docProps/custom.xml><?xml version="1.0" encoding="utf-8"?>
<Properties xmlns="http://schemas.openxmlformats.org/officeDocument/2006/custom-properties" xmlns:vt="http://schemas.openxmlformats.org/officeDocument/2006/docPropsVTypes"/>
</file>