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ka likumprojekts paredz papildināt Būvniecības likuma 12. pantā (34) daļu ar vārdiem un skaitļiem “kā arī pakalpojuma maksas un nodevas nomaksu par šā likuma 14.panta (11) daļā noteikto darbību veikšanu”, jo ne visos gadījumos būs ēkas pieņemšana ekspluatācijā, paredzams, ka būs arī pazinojumi par būvdarbu pabeigšanu. Nav skaidrs kādēļ būvvaldēm jāveic darbības ,kas līdz šim ietilpst valsts institūciju- Zemesgrāmatu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likumā.groz.tiek paredzēts, ka kadastrā ( un tālāk Zemesgrāmatā) būvi reģistrēs tikai PĒC 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jaunbūves  (pamati un tālākās stadijas)  kadastrā un Zemesgrāmatā  vairs nevarēs būt, jo to esamība Būvniecības likumā nav definēta, no tā izriet, ka normatīvā akta izstrādātāji neatrisināto problēmu par būvju nodošanu ekspluatācijā nevis atrisina, bet gluži otrādi saasina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likumu ar 12 .panta trešās daļas 1 punktu ir paplašināts būvvalžu atbildības tvērums, kas būvniecības procesa uzsākšanas posmā vienotā rēģistrācijas procesā  samazina  Valsts zemes dienesta iespējas izdarīt nepieciešamās korekcijas, tādejādi “birokrātisko škēršļu” novēršana tiek vienkārši pārvietota uz būvvalžu atbildību . Par  to netieši liecina arī Tieslietu ministrijas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14.07.2025.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14.07.2025.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Atzinumi_25-TA-1438.docx</dc:title>
</cp:coreProperties>
</file>

<file path=docProps/custom.xml><?xml version="1.0" encoding="utf-8"?>
<Properties xmlns="http://schemas.openxmlformats.org/officeDocument/2006/custom-properties" xmlns:vt="http://schemas.openxmlformats.org/officeDocument/2006/docPropsVTypes"/>
</file>