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iebilst pret likumprojekta (23-TA-1533) Grozījumi Sabiedriskā transporta pakalpojumu likumā  7.panta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17.panta 3.daļas 1.punkta redakcijas svītrot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kad kompetentā institūcija par sadarbību iecietības programmas ietvaros Pārvadātājam ir samazinājusi  naudas sodu, vai ir izsniegusi atzinumu par to, ka Pārvadātāja veiktie pasākumi ir pietiekami uzticamības atjaunošanai, nenovērš faktu par to, kas attiecīgais līgums ir iegūts pārkāpjot vienlīdzīgas konkurences nosacījumus. Šāds pārvadātājs ir ieguvis priekšrocības un tirgus daļu ilgtermiņā un kuru vairs nevar pretendēt citi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Sabiedriskā transporta pakalpojumu likuma 17.panta 3.daļas 1.punkta redakcija būtībā rada bezprecedentu situācijai, ka pasūtītājam tiek liegta iespēja izvērtēt tiesības vienpusēji atkāpties no līguma, neraugoties uz to, ka šāda līguma turpmāka izpilde var radīt būtisku gan finansiālu un tiesisku kaitējumu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lūdz izteikt likumprojekta 7.pantu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