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580 11.1.3. apakšpunkts lauksaimniecības un mežsaimniecības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kooperatīvās sabiedrības nosauc kā atbalsta pretendentus, taču 350 000 euro apgrozījuma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12. punktu par saistīto personu apgrozījuma ieskaitīšanu padara šo normu praktiski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nepiemērojamu. Sliekšņa nosacījumiem atbilst 7 no 50 atbilstīgajām kooperatīvajām sabiedrībām (14 %), un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saistīto personu apgrozījuma ieskaitīšanas, visticamāk, neviena. Projekts šo problēmu neatrisina. Atzinuma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centrālais priekšlikums ir to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27.07.2026.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27.07.2026.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Atzinumi_26-TA-459.docx</dc:title>
</cp:coreProperties>
</file>

<file path=docProps/custom.xml><?xml version="1.0" encoding="utf-8"?>
<Properties xmlns="http://schemas.openxmlformats.org/officeDocument/2006/custom-properties" xmlns:vt="http://schemas.openxmlformats.org/officeDocument/2006/docPropsVTypes"/>
</file>