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 ierosinātās ES fondu finansējuma pārdales Rīgas Austrumu klīniskā universitātes slimnīcas Latvijas Onkoloģijas centram un Traumatoloģijas un ortopēdijas slimnīcai. Vienlaikus vēršam uzmanību, ka piedāvātās ES fondu finansējuma pārdales starp vairākiem veselības nozares projektiem tikai daļēji risina identificētās finansējuma vajadzības, jo gan PSKUS A2 projektam, gan RAKUS Latvijas Onkoloģijas centra attīstībai joprojām nepieciešami būtiski papildu finanšu resursi. Līdz ar to būtu nepieciešams politiska līmeņa lēmums par veselības nozares investīciju prioritātēm un ierobežotā finansējuma prioritāru novirzīšanu tai vajadzībai, kuras finansēšana attiecīgajā brīdī rada vislielāko pievienoto vērtību un vismazākos riskus valsts stratēģisko mērķu sasniegšanai, jo pašreizējais pārdales risinājums nevienu no Veselības ministrijas identificētajām prioritātēm neatrisina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pirms noteikumu projekta virzīšanas izskatīšanai Ministru kabinetā, ES fondu finansējuma pārdales saskaņot nākamajā Eiropas Savienības fondu tematiskās komitejas sēdē, atbilstoši Eiropas Savienības fondu tematiskās komitejas 2026. gada 6. augusta sēdes protokola Nr. 1 2.§ 2. punktam, kurš nosaka, ka nozaru ministrijām jāiesniedz Finanšu ministrijā papildu informāciju par visiem pieteiktajiem finansējuma pieprasījuma vai pārdaļu priekšlikumiem, vai arī tās saskaņot Sadarbības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“Risinājuma apraksts” precizēt 4.1.1.1. pasākuma piektās kārtas finansējuma sadalījumu intervences kategorijā “Intervences laukums”, jo norādītā ERAF finansējuma kopsumma ir 123 284 125 </w:t>
            </w:r>
            <w:r w:rsidR="00000000" w:rsidRPr="00000000" w:rsidDel="00000000">
              <w:rPr>
                <w:i w:val="1"/>
                <w:rtl w:val="0"/>
              </w:rPr>
              <w:t xml:space="preserve">euro</w:t>
            </w:r>
            <w:r w:rsidR="00000000" w:rsidRPr="00000000" w:rsidDel="00000000">
              <w:rPr>
                <w:rtl w:val="0"/>
              </w:rPr>
              <w:t xml:space="preserve">, savukārt atbilstoši finansējuma sadalījumam tai jābūt 123 284 055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aprakstā tiek norādīts, ka “pēc šo grozījumu stāšanās spēkā būs nepieciešams veikt izmaiņas īstenošanā esošajos projektos”. Aicinām papildināt minēto skaidrojumu, norādot, vai noslēgtajos līgumos un vienošanās par projekta īstenošanu veicamie grozījumi būtu uzskatāmi par būtiskiem, proti, par tādiem, kas ietekmē darbības veidu,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apakšadaļas “Risinājuma apraksts” 2) punktu, norādot kādām Rīgas Austrumu klīniskā universitātes slimnīcas Latvijas Onkoloģijas centra (turpmāk – LOC) projekta darbībām paredzēts novirzīt 287 754 euro, tā pat lūdzam papildināt ar informāciju cik liels finansējums nepieciešams pilnai LOC infrastruktūras aprīkošanai.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“Pašreizējā situācija, problēmas un risinājumi” apakšsadaļas "Risinājuma apraksts" pirmo teikumu, ņemot vērā, ka 2026. gada 31. augustā AF komponentes "Veselība" rādītāji ir sasniegti, un lielākā daļa projektu jau pabeigti.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26-TA-2141</w:t>
    </w:r>
    <w:r>
      <w:br/>
    </w:r>
    <w:r w:rsidR="00000000" w:rsidRPr="00000000" w:rsidDel="00000000">
      <w:rPr>
        <w:rtl w:val="0"/>
      </w:rPr>
      <w:t xml:space="preserve">Izdrukāts 07.09.2026.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26-TA-2141</w:t>
    </w:r>
    <w:r>
      <w:br/>
    </w:r>
    <w:r w:rsidR="00000000" w:rsidRPr="00000000" w:rsidDel="00000000">
      <w:rPr>
        <w:rtl w:val="0"/>
      </w:rPr>
      <w:t xml:space="preserve">Izdrukāts 07.09.2026.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Atzinumi_26-TA-2141.docx</dc:title>
</cp:coreProperties>
</file>

<file path=docProps/custom.xml><?xml version="1.0" encoding="utf-8"?>
<Properties xmlns="http://schemas.openxmlformats.org/officeDocument/2006/custom-properties" xmlns:vt="http://schemas.openxmlformats.org/officeDocument/2006/docPropsVTypes"/>
</file>