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5</w:t>
            </w:r>
            <w:r w:rsidR="00000000" w:rsidRPr="00000000" w:rsidDel="00000000">
              <w:rPr>
                <w:b w:val="1"/>
                <w:rtl w:val="0"/>
              </w:rPr>
              <w:t xml:space="preserve"> pants. Padomes priekšsēdētāja un padomes locekļu pienākumu izpildītāju iecelšana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padomes priekšsēdētāju vai padomes locekli pirms termiņa no amata atbrīvo Ministru kabinets, tas vienlaikus lemj par atbrīvotā padomes priekšsēdētāja vai padomes locekļa pienākumu izpildītāja iecelšanu līdz brīdim, kad amatā tiek apstiprināts šajā likumā noteiktajā kārtībā izvēlēts padomes priekšsēdētājs vai padomes loceklis, bet ne ilgāk kā uz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padomes priekšsēdētāja vai padomes locekļa pilnvaras izbeidzas sakarā ar viņa nāvi vai padomes priekšsēdētāju vai padomes locekli pirms termiņa no amata atbrīvo ekonomikas ministrs, viņš vienlaikus lemj par atbrīvotā padomes priekšsēdētāja vai padomes locekļa pienākumu izpildītāja iecelšanu līdz brīdim, kad amatā tiek apstiprināts šajā likumā noteiktajā kārtībā izvēlēts padomes priekšsēdētājs vai padomes loceklis, bet ne ilgāk kā uz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(FICIL) saglabā sākotnējos iebildumus attiecībā uz grozījumiem Konkurences likumā (projekta ID 24-TA-2238), kā norādīts 2024. gada 30. janvāra vēstulē. Uzskatām, ka Likumprojekta aktuālā redakcija nav novērsusi vēstulē paustos būtiskos riskus, jo joprojām netiek pilnvērtīgi nodrošināta Konkurences padomes kā neatkarīgas lēmējinstitūcijas darbības autonomija.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ieskatā, piedāvātie mehānismi saglabā iespēju politiski ietekmēt padomes locekļu iecelšanu, tādējādi veicinot interešu konflikta riskus un mazinot uzticību iestādes darbības caurspīdīgumam un objektivitātei. Līdz ar to uzskatām, ka esošā redakcija neatbilst labas pārvaldības principiem un neparedz pietiekamus drošības mehānismus, lai aizsargātu Konkurences padomes institucionālo neatkarību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Arnolds Arnis Ābelīte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31.03.2025.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31.03.2025.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