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 Cobalt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4.</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4.</w:t>
            </w:r>
            <w:r w:rsidR="00000000" w:rsidRPr="00000000" w:rsidDel="00000000">
              <w:rPr>
                <w:vertAlign w:val="superscript"/>
                <w:rtl w:val="0"/>
              </w:rPr>
              <w:t xml:space="preserve">1</w:t>
            </w:r>
            <w:r w:rsidR="00000000" w:rsidRPr="00000000" w:rsidDel="00000000">
              <w:rPr>
                <w:rtl w:val="0"/>
              </w:rPr>
              <w:t xml:space="preserve"> nodaļas 87.</w:t>
            </w:r>
            <w:r w:rsidR="00000000" w:rsidRPr="00000000" w:rsidDel="00000000">
              <w:rPr>
                <w:vertAlign w:val="superscript"/>
                <w:rtl w:val="0"/>
              </w:rPr>
              <w:t xml:space="preserve">13</w:t>
            </w:r>
            <w:r w:rsidR="00000000" w:rsidRPr="00000000" w:rsidDel="00000000">
              <w:rPr>
                <w:rtl w:val="0"/>
              </w:rPr>
              <w:t xml:space="preserve"> punkta redakciju  ., 87.</w:t>
            </w:r>
            <w:r w:rsidR="00000000" w:rsidRPr="00000000" w:rsidDel="00000000">
              <w:rPr>
                <w:vertAlign w:val="superscript"/>
                <w:rtl w:val="0"/>
              </w:rPr>
              <w:t xml:space="preserve">6</w:t>
            </w:r>
            <w:r w:rsidR="00000000" w:rsidRPr="00000000" w:rsidDel="00000000">
              <w:rPr>
                <w:rtl w:val="0"/>
              </w:rPr>
              <w:t xml:space="preserve">2., 87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87.</w:t>
            </w:r>
            <w:r w:rsidR="00000000" w:rsidRPr="00000000" w:rsidDel="00000000">
              <w:rPr>
                <w:vertAlign w:val="superscript"/>
                <w:rtl w:val="0"/>
              </w:rPr>
              <w:t xml:space="preserve">13</w:t>
            </w:r>
            <w:r w:rsidR="00000000" w:rsidRPr="00000000" w:rsidDel="00000000">
              <w:rPr>
                <w:rtl w:val="0"/>
              </w:rPr>
              <w:t xml:space="preserve">  punktā vārda “vēja parku pārkare” būtību tiesību aktā.  Tā kā atbilstoši ministru kabineta noteikumiem Nr. 240 “Vispārīgie teritorijas plānošanas, izmantošanas un apbūves noteikumi” 2.25 punktā vēja parks definēts, kā objektu kopums, precīzāk, vēja parks – vienotā sistēmā saslēgtu piecu vai vairāk vēja elektrostaciju grupa, kurā atsevišķas vēja elektrostacijas ir izvietotas ne tālāk kā 2 km attālumā cita no citas. Līdz ar to no tiesību akta nav skaidrs, vai norma attiecināma uz vienu tehnoloģisko iekārtu vai plānoto tehnoloģisko iekārtu kopumu.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4.1 nodaļas 87.</w:t>
            </w:r>
            <w:r w:rsidR="00000000" w:rsidRPr="00000000" w:rsidDel="00000000">
              <w:rPr>
                <w:vertAlign w:val="superscript"/>
                <w:rtl w:val="0"/>
              </w:rPr>
              <w:t xml:space="preserve">6</w:t>
            </w:r>
            <w:r w:rsidR="00000000" w:rsidRPr="00000000" w:rsidDel="00000000">
              <w:rPr>
                <w:rtl w:val="0"/>
              </w:rPr>
              <w:t xml:space="preserve">2.punkta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aktu ar normu, kura paredz pagarinājumu objektīvu iemeslu dēļ. Tā kā izbūves process ir atkarīgs tai skaitā no dažādu administratīvu lēmumu pieņemšanas un to ātruma, kurām institūcijas ir tiesīgas piemērot pagarinājumus, kas Latvijas praksē pagarinājumu piemērošana tiek izmantota ar vērā ņemamu regularitāti. Kā rezultātā komersants var nepaspēt tiesību aktā noteiktajā termiņā, tieši dēļ valsts pārvaldes lēmum pieņemšanas ātruma.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4.1 nodaļas 87.</w:t>
            </w:r>
            <w:r w:rsidR="00000000" w:rsidRPr="00000000" w:rsidDel="00000000">
              <w:rPr>
                <w:vertAlign w:val="superscript"/>
                <w:rtl w:val="0"/>
              </w:rPr>
              <w:t xml:space="preserve">9</w:t>
            </w:r>
            <w:r w:rsidR="00000000" w:rsidRPr="00000000" w:rsidDel="00000000">
              <w:rPr>
                <w:rtl w:val="0"/>
              </w:rPr>
              <w:t xml:space="preserve"> un 87.</w:t>
            </w:r>
            <w:r w:rsidR="00000000" w:rsidRPr="00000000" w:rsidDel="00000000">
              <w:rPr>
                <w:vertAlign w:val="superscript"/>
                <w:rtl w:val="0"/>
              </w:rPr>
              <w:t xml:space="preserve">10</w:t>
            </w:r>
            <w:r w:rsidR="00000000" w:rsidRPr="00000000" w:rsidDel="00000000">
              <w:rPr>
                <w:rtl w:val="0"/>
              </w:rPr>
              <w:t xml:space="preserve"> punktu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87.</w:t>
            </w:r>
            <w:r w:rsidR="00000000" w:rsidRPr="00000000" w:rsidDel="00000000">
              <w:rPr>
                <w:vertAlign w:val="superscript"/>
                <w:rtl w:val="0"/>
              </w:rPr>
              <w:t xml:space="preserve">10</w:t>
            </w:r>
            <w:r w:rsidR="00000000" w:rsidRPr="00000000" w:rsidDel="00000000">
              <w:rPr>
                <w:rtl w:val="0"/>
              </w:rPr>
              <w:t xml:space="preserve"> punktos aicinām mainīt pieeju maksas aprēķināšanas kārtībai, izvēloties daudz prognozējamāku aprēķināšanas kārtību, kā arī norādām, ka nav objektīvi attiecināt Centrālās statistikas pārvaldes publicētā iepriekšējā gada patēriņa cenu inflācijas indeksa, tā kā grozs ietver daudz plašāku produktu klāstu, kā elektroenerģija un inflācijas cēloņi var būt nesaistīti ar elektroenerģijas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12.05.2023.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23-TA-1122</w:t>
    </w:r>
    <w:r>
      <w:br/>
    </w:r>
    <w:r w:rsidR="00000000" w:rsidRPr="00000000" w:rsidDel="00000000">
      <w:rPr>
        <w:rtl w:val="0"/>
      </w:rPr>
      <w:t xml:space="preserve">Izdrukāts 12.05.2023.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Atzinumi_23-TA-1122.docx</dc:title>
</cp:coreProperties>
</file>

<file path=docProps/custom.xml><?xml version="1.0" encoding="utf-8"?>
<Properties xmlns="http://schemas.openxmlformats.org/officeDocument/2006/custom-properties" xmlns:vt="http://schemas.openxmlformats.org/officeDocument/2006/docPropsVTypes"/>
</file>