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Bankas likumā (skat. Latvijas Bankas likuma 24. panta otro un trešo daļu) ir paredzēts deleģējums Latvijas Bankai noteikt visu tās uzraudzīto finanšu tirgus dalībnieku maksājumu veikšanas un aprēķināšanas kārtību un termiņus, kā arī ir paredzētas sekas, kas iestājas nokavētu vai nepilnīgi veiktu maksājumu gadījumā (nokavējuma nauda par katru nokavēto maksājuma dienu 0,05 procentu apmērā no nesamaksātās summas), Ieguldījumu brokeru sabiedrību likuma 52. panta otrā un trešā daļa, kas paredz analoģisku regulējumu tieši attiecībā uz ieguldījumu brokeru sabiedrībām (Latvijas Republikā licencētām ieguldījumu brokeru sabiedrībām, citu dalībvalstu ieguldījumu brokeru sabiedrību filiālēm un ārvalstu ieguldījumu brokeru sabiedrību filiālēm),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nosaukums izsakāms jaunā redakcijā, to mainot uz "Maksājumi Latvijas Bankai", jo finanšu tirgus dalībnieku maksājumi paši par sevi nenodrošina Latvijas Bankas darbības finansēšanu, bet ļauj papildināt Latvijas Bankas finanšu resursus, no kuriem tiek finansēti visai sabiedrībai nozīmīgi pasākumi un ar kuriem finanšu tirgus dalībnieki uzņemas kopīgu atbildību par sabiedrības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52. pantā:izteikt nosaukumu šādā redakcijā "Maksājumi Latvijas Bankai"; 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Bajārs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Ieguldījumu brokeru sabiedrību likumu ar jaunu - 77.</w:t>
            </w:r>
            <w:r w:rsidR="00000000" w:rsidRPr="00000000" w:rsidDel="00000000">
              <w:rPr>
                <w:vertAlign w:val="superscript"/>
                <w:rtl w:val="0"/>
              </w:rPr>
              <w:t xml:space="preserve">1</w:t>
            </w:r>
            <w:r w:rsidR="00000000" w:rsidRPr="00000000" w:rsidDel="00000000">
              <w:rPr>
                <w:rtl w:val="0"/>
              </w:rPr>
              <w:t xml:space="preserve"> - pantu.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77.</w:t>
            </w:r>
            <w:r w:rsidR="00000000" w:rsidRPr="00000000" w:rsidDel="00000000">
              <w:rPr>
                <w:vertAlign w:val="superscript"/>
                <w:rtl w:val="0"/>
              </w:rPr>
              <w:t xml:space="preserve">1</w:t>
            </w:r>
            <w:r w:rsidR="00000000" w:rsidRPr="00000000" w:rsidDel="00000000">
              <w:rPr>
                <w:rtl w:val="0"/>
              </w:rPr>
              <w:t xml:space="preserve"> pantu šādā redakcijā: "Naudas sods, kuru uzliek saskaņā ar šā likuma 70. un 73. pantā minētajiem noteikumiem, ieskaitāms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otrās daļas 3. punkta “d” apakšpunktā vārdus “informācijas sistēmas” ar vārdiem “informācijas un komunikācijas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pārveidot grozījumu vienību, lai likumu saskaņotu ar regulā 2022/2554 noteikto (skat. tās 9. panta 4.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otrās daļas 3. punkta “d”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9. punktu pēc vārda “mehānismus” ar vārdiem un skaitļiem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sabiedrību likuma 31. panta pirmās daļas 9. punkts no likuma izslēdzams, jo tajā noteiktais dublēs regulas 2022/2554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“procedūras” ar vārdiem un skaitļiem “tai skaitā informācijas un komunikāciju tehnoloģijas saskaņā ar Regulas Nr. 2022/2554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pārmaiņām attiecībā uz 9. punkta izslēgšanu, nepieciešams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15. punktu pēc vārda “procedūras” ar vārdiem un skaitļiem “tai skaitā informācijas un komunikāciju tehnoloģijas saskaņā ar Eiropas Parlamenta un Padomes 2022. gada 14. decembra Regulu (ES) 2022/2554 par finanšu nozares digitālās darbības noturību un ar ko groza Regulas (EK) Nr. 1060/2009, (ES) Nr. 648/2012, (ES) Nr. 600/2014, (ES) Nr. 909/2014 un (ES) 2016/1011 (turpmāk –Regula Nr. 2022/2554)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34.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komunikāciju tehnoloģiju, to pārvaldību vai attīstību saskaņā ar Regulu Nr. 2022/2554 un Finanšu tirgus digitālās darbības noturības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ieguldījumu brokeru sabiedrībai nosaka tiesības deleģēt ārpakalpojumu sniedzējam informācijas tehnoloģiju vai sistēmu pārvaldību vai attīstības pakalpojumu, šāda norma nav jāsaglabā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34. 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11.11.2024.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11.11.2024.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Atzinumi_24-TA-2441.docx</dc:title>
</cp:coreProperties>
</file>

<file path=docProps/custom.xml><?xml version="1.0" encoding="utf-8"?>
<Properties xmlns="http://schemas.openxmlformats.org/officeDocument/2006/custom-properties" xmlns:vt="http://schemas.openxmlformats.org/officeDocument/2006/docPropsVTypes"/>
</file>