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3.3. prioritātes "Militārās mobilitātes stiprināšana - dzelzceļš un ostas" 3.3.1. specifiskā atbalsta mērķa "Attīstīt noturīgu aizsardzības infrastruktūru, veicinot militāro mobilitāti Eiropas Savienībā" 3.3.1.2. pasākuma "Lielo ostu divējāda lietojuma publiskās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Atbalsts šo noteikumu </w:t>
            </w:r>
            <w:r w:rsidR="00000000" w:rsidRPr="00000000" w:rsidDel="00000000">
              <w:rPr>
                <w:rtl w:val="0"/>
              </w:rPr>
              <w:t xml:space="preserve">12.2.</w:t>
            </w:r>
            <w:r w:rsidR="00000000" w:rsidRPr="00000000" w:rsidDel="00000000">
              <w:rPr>
                <w:rtl w:val="0"/>
              </w:rPr>
              <w:t xml:space="preserve"> un </w:t>
            </w:r>
            <w:r w:rsidR="00000000" w:rsidRPr="00000000" w:rsidDel="00000000">
              <w:rPr>
                <w:rtl w:val="0"/>
              </w:rPr>
              <w:t xml:space="preserve">12.3. </w:t>
            </w:r>
            <w:r w:rsidR="00000000" w:rsidRPr="00000000" w:rsidDel="00000000">
              <w:rPr>
                <w:rtl w:val="0"/>
              </w:rPr>
              <w:t xml:space="preserve">apakšpunktā</w:t>
            </w:r>
            <w:r w:rsidR="00000000" w:rsidRPr="00000000" w:rsidDel="00000000">
              <w:rPr>
                <w:rtl w:val="0"/>
              </w:rPr>
              <w:t xml:space="preserve"> norādīto darbību īstenošanai nav uzskatāms par komercdarbības atbalstu.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kas nosaka, ka grāmatvedībā ir jābūt skaidri nodalītām izmaksām darbībām, kam atbalsts šo darbību īstenošanai nav uzskatāms par komercdarbības atbalstu, no izmaksām saimnieciskai darbībai.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16.5.2. piestātnes jauna aprīkojuma un inženiertīklu izbūve;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to, ka projekta ietvaros tiek attiecinātas tikai tās izmaksas, kas atbilst Komisijas regulas Nr. 651/2014 [1] 2. panta 157. punktā noteiktajai definīcijai, kā, arī, ievērojot Komisijas regulas Nr. 651/2014 56.b panta 3. punktā noteikto, lai  novērstu šaubas, ka projekta ietvaros tiek sniegts atbalsts Komisijas regulas Nr. 651/2014 2. panta 158. punktā minētajām ostas būvēm un aprīkojumam, lūdzam sniegt skaidrojumu anotācijā, kā arī pēc nepieciešamības precizēt noteikumu projekta punktus.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Eiropas Komisijas  2014.gada 17.jūnija Regula (ES) Nr. 651/2014,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16.10. </w:t>
            </w:r>
            <w:r w:rsidR="00000000" w:rsidRPr="00000000" w:rsidDel="00000000">
              <w:rPr>
                <w:rtl w:val="0"/>
              </w:rPr>
              <w:t xml:space="preserve">apakšpunktā</w:t>
            </w:r>
            <w:r w:rsidR="00000000" w:rsidRPr="00000000" w:rsidDel="00000000">
              <w:rPr>
                <w:rtl w:val="0"/>
              </w:rPr>
              <w:t xml:space="preserve"> minētās izmaksas ir attiecināmas, piemērojot</w:t>
            </w:r>
            <w:r w:rsidR="00000000" w:rsidRPr="00000000" w:rsidDel="00000000">
              <w:rPr>
                <w:i w:val="1"/>
                <w:rtl w:val="0"/>
              </w:rPr>
              <w:t xml:space="preserve"> de minimis</w:t>
            </w:r>
            <w:r w:rsidR="00000000" w:rsidRPr="00000000" w:rsidDel="00000000">
              <w:rPr>
                <w:rtl w:val="0"/>
              </w:rPr>
              <w:t xml:space="preserve"> atbalsta nosacījumus, ja tās radušās pirms projekta iesnieguma iesniegšanas vadības informācijas sistēmā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minēto darbību īstenošanas nodrošināšanai un ir uzsāktas ne agrāk par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noteikto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komunikācijas un vizuālās identitātes pasākumu nodrošināšanas prasības nosaka Ministru kabineta 2023. gada 13. jūlija noteikumi Nr. 408 “Kārtība, kādā Eiropas Savienības fondu vadībā iesaistītās institūcijas nodrošina šo fondu ieviešanu 2021.–2027. gada plānošanas periodā”, lūdzam  noteikumu  projekta 16.10. apakšpunktā minētajām izmaksām komunikācijas un vizuālās identitātes pasākumu nodrošināšanai nepiemērot komercdarbības atbalsta regulējumu, attiecīgi precizējot noteikumu projektu un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iesniedzējs nevar pretendēt uz atbalstu atbilstoši </w:t>
            </w:r>
            <w:r w:rsidR="00000000" w:rsidRPr="00000000" w:rsidDel="00000000">
              <w:rPr>
                <w:rtl w:val="0"/>
              </w:rPr>
              <w:t xml:space="preserve">regulas Nr. 651/2014</w:t>
            </w:r>
            <w:r w:rsidR="00000000" w:rsidRPr="00000000" w:rsidDel="00000000">
              <w:rPr>
                <w:rtl w:val="0"/>
              </w:rPr>
              <w:t xml:space="preserve"> 56.b pantam, ja tas atbilst grūtībās nonākuša komersanta statusam un uz to attiecas vismaz viens no </w:t>
            </w:r>
            <w:r w:rsidR="00000000" w:rsidRPr="00000000" w:rsidDel="00000000">
              <w:rPr>
                <w:rtl w:val="0"/>
              </w:rPr>
              <w:t xml:space="preserve">regulas Nr. 651/2014</w:t>
            </w:r>
            <w:r w:rsidR="00000000" w:rsidRPr="00000000" w:rsidDel="00000000">
              <w:rPr>
                <w:rtl w:val="0"/>
              </w:rPr>
              <w:t xml:space="preserve"> 2. panta 18.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25. un 26.punktā minētie kritēriji ir jāvērtē uzņēmuma grupas līmenī, lūdzam attiecīgi arī papildināt šos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Komisijas regulas Nr. 2023/2831 [1] 6. panta 3. un 7. punktā noteikto datu uzglabāšanas pienākuma prasības ievērošanu, lūdzam papildināt noteikumu projektu ar šiem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piedāvātās redakcijas piemēru zemāk.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Eiropas Komisijas 2023.gada 13.decembra Regula (ES) 2023/2831 par Līguma par Eiropas Savienības darbību 107. un 108. panta piemērošanu de minimis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uzglabā visus ar </w:t>
            </w:r>
            <w:r w:rsidR="00000000" w:rsidRPr="00000000" w:rsidDel="00000000">
              <w:rPr>
                <w:i w:val="1"/>
                <w:rtl w:val="0"/>
              </w:rPr>
              <w:t xml:space="preserve">de minimis</w:t>
            </w:r>
            <w:r w:rsidR="00000000" w:rsidRPr="00000000" w:rsidDel="00000000">
              <w:rPr>
                <w:rtl w:val="0"/>
              </w:rPr>
              <w:t xml:space="preserve"> atbalsta piešķiršanu saistītos datus 10 (desmit) gadus, sākot no dienas, kurā saskaņā ar šiem noteikumiem noteikto piešķirts pēdējais </w:t>
            </w:r>
            <w:r w:rsidR="00000000" w:rsidRPr="00000000" w:rsidDel="00000000">
              <w:rPr>
                <w:i w:val="1"/>
                <w:rtl w:val="0"/>
              </w:rPr>
              <w:t xml:space="preserve">de minimis</w:t>
            </w:r>
            <w:r w:rsidR="00000000" w:rsidRPr="00000000" w:rsidDel="00000000">
              <w:rPr>
                <w:rtl w:val="0"/>
              </w:rPr>
              <w:t xml:space="preserve"> atbalsts. </w:t>
            </w:r>
            <w:r w:rsidR="00000000" w:rsidRPr="00000000" w:rsidDel="00000000">
              <w:rPr>
                <w:i w:val="1"/>
                <w:rtl w:val="0"/>
              </w:rPr>
              <w:t xml:space="preserve">De minimis</w:t>
            </w:r>
            <w:r w:rsidR="00000000" w:rsidRPr="00000000" w:rsidDel="00000000">
              <w:rPr>
                <w:rtl w:val="0"/>
              </w:rPr>
              <w:t xml:space="preserve"> atbalsta saņēmējs uzglabā visus ar </w:t>
            </w:r>
            <w:r w:rsidR="00000000" w:rsidRPr="00000000" w:rsidDel="00000000">
              <w:rPr>
                <w:i w:val="1"/>
                <w:rtl w:val="0"/>
              </w:rPr>
              <w:t xml:space="preserve">de minimis</w:t>
            </w:r>
            <w:r w:rsidR="00000000" w:rsidRPr="00000000" w:rsidDel="00000000">
              <w:rPr>
                <w:rtl w:val="0"/>
              </w:rPr>
              <w:t xml:space="preserve"> atbalsta piešķiršanu saistītos datus 10 (desmit) gadus no de minimis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V. sadaļu papildināt tā, lai skaidrs, kā tiks ievēroti Komisijas regulas Nr. 651/2014 56.[1] b panta 3. un 7.punkts. Ar attiecīgu skaidrojumu lūdzam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attiecībā uz Komisijas regulas Nr.651/2014 56.panta 7.punkta piemērošanu anotāciju arī papildināt ar skaidrojumu par komunikāciju ar Eiropas Komisiju lietas SA.116227 (2024/N) - </w:t>
            </w:r>
            <w:r w:rsidR="00000000" w:rsidRPr="00000000" w:rsidDel="00000000">
              <w:rPr>
                <w:i w:val="1"/>
                <w:rtl w:val="0"/>
              </w:rPr>
              <w:t xml:space="preserve">Providing of safe berthing of Ro-Ro ferries in the port of Liepaja / Applicability of Article 56b of the General Block Exemption Regulation </w:t>
            </w:r>
            <w:r w:rsidR="00000000" w:rsidRPr="00000000" w:rsidDel="00000000">
              <w:rPr>
                <w:rtl w:val="0"/>
              </w:rPr>
              <w:t xml:space="preserve">ietvaros (Eiropas Komisijas viedoklis Viedās administrācijas un reģionālās attīstības ministrijas un Liepājas speciālās ekonomiskās zonas  pārsūtīts ar Finanšu ministrijas2025.gada 27.marta vēstuli Nr. 7-2/18/957).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Eiropas Komisijas  2014.gada 17.jūnija Regula (ES) Nr. 651/2014,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Piemērojot </w:t>
            </w:r>
            <w:r w:rsidR="00000000" w:rsidRPr="00000000" w:rsidDel="00000000">
              <w:rPr>
                <w:rtl w:val="0"/>
              </w:rPr>
              <w:t xml:space="preserve">regulas Nr. 651/2014</w:t>
            </w:r>
            <w:r w:rsidR="00000000" w:rsidRPr="00000000" w:rsidDel="00000000">
              <w:rPr>
                <w:rtl w:val="0"/>
              </w:rPr>
              <w:t xml:space="preserve"> 56.b panta 5. punktu, komercdarbības atbalsta intensitāte </w:t>
            </w:r>
            <w:r w:rsidR="00000000" w:rsidRPr="00000000" w:rsidDel="00000000">
              <w:rPr>
                <w:rtl w:val="0"/>
              </w:rPr>
              <w:t xml:space="preserve">regulas Nr. 651/2014</w:t>
            </w:r>
            <w:r w:rsidR="00000000" w:rsidRPr="00000000" w:rsidDel="00000000">
              <w:rPr>
                <w:rtl w:val="0"/>
              </w:rPr>
              <w:t xml:space="preserve"> 56.b panta 5. punktā minētos attiecināmo izmaksu ierobežojumus un </w:t>
            </w:r>
            <w:r w:rsidR="00000000" w:rsidRPr="00000000" w:rsidDel="00000000">
              <w:rPr>
                <w:rtl w:val="0"/>
              </w:rPr>
              <w:t xml:space="preserve">regulas Nr. 651/2014</w:t>
            </w:r>
            <w:r w:rsidR="00000000" w:rsidRPr="00000000" w:rsidDel="00000000">
              <w:rPr>
                <w:rtl w:val="0"/>
              </w:rPr>
              <w:t xml:space="preserve"> 56.b panta 4. punktā minētos nosacījumus. Atbalsta intensitāte atbilst 2. panta 26. 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27.punktu, skaidri iekļaujot noteikumu projektā atbalsta apjoma un piemērojamās atbalsta intensitātes aprēķināšanas principus konkrētām attiecināmā izmaksām saskaņā ar regulas Nr. 651/2014 [1] 56.b panta 4.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Eiropas Komisijas  2014.gada 17.jūnija Regula (ES) Nr. 651/2014,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Darbus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norādītās darbības veikšanai var uzsākt pēc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minētā projekta iesnieguma iesniegšanas atbilstoši </w:t>
            </w:r>
            <w:r w:rsidR="00000000" w:rsidRPr="00000000" w:rsidDel="00000000">
              <w:rPr>
                <w:rtl w:val="0"/>
              </w:rPr>
              <w:t xml:space="preserve">regulas Nr. 651/2014</w:t>
            </w:r>
            <w:r w:rsidR="00000000" w:rsidRPr="00000000" w:rsidDel="00000000">
              <w:rPr>
                <w:rtl w:val="0"/>
              </w:rPr>
              <w:t xml:space="preserve"> 6. pantam, ņemot vērā, ka </w:t>
            </w:r>
            <w:r w:rsidR="00000000" w:rsidRPr="00000000" w:rsidDel="00000000">
              <w:rPr>
                <w:rtl w:val="0"/>
              </w:rPr>
              <w:t xml:space="preserve">regulas Nr. 651/2014</w:t>
            </w:r>
            <w:r w:rsidR="00000000" w:rsidRPr="00000000" w:rsidDel="00000000">
              <w:rPr>
                <w:rtl w:val="0"/>
              </w:rPr>
              <w:t xml:space="preserve">  izpratnē par darbu sākumu ir uzskatāmas darbības, kas atbilst </w:t>
            </w:r>
            <w:r w:rsidR="00000000" w:rsidRPr="00000000" w:rsidDel="00000000">
              <w:rPr>
                <w:rtl w:val="0"/>
              </w:rPr>
              <w:t xml:space="preserve">regulas Nr. 651/2014</w:t>
            </w:r>
            <w:r w:rsidR="00000000" w:rsidRPr="00000000" w:rsidDel="00000000">
              <w:rPr>
                <w:rtl w:val="0"/>
              </w:rPr>
              <w:t xml:space="preserve"> 2. panta 23. punktā minētajiem nosacījumiem (ja darbu sākums ir pirms projekta iesnieguma iesniegšanas brīža, izmaksas nav attiecināmas).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gadījumā, ja darbi pie projekta ir sākti pirms projekta iesnieguma iesniegšanas, viss projekts ir noraidāms, lūdzam jautājumu skaidri atspoguļot Ministru kabineta noteikumu projekta redakcijā, tostarp, piemēram, vārdus "izmaksas nav attiecināmas" aizstāt ar vārdiem "viss projekts ir noraidāms".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anotācijā skaidrot, vai praksē attiecībā uz plānoto Liepājas speciālās ekonomiskās zonas projektu tiks nodrošināta stimulējošās ietekmes nosacījuma izpilde (atbilstoši definīcijai), ja, piemēram, projekts šādā apmērā ir bijis iesniegts jau kādam citam atbalsta sniedzējam un attiecīgi daļa no atbalsta par konkrētiem darbiem piešķirta (ja piešķirta) un projekts uzsākts (ja uzsākts). Lūdzam arī skatīt par šo aspektu komunikāciju Eiropas Komisiju lietas </w:t>
            </w:r>
            <w:r w:rsidR="00000000" w:rsidRPr="00000000" w:rsidDel="00000000">
              <w:rPr>
                <w:i w:val="1"/>
                <w:rtl w:val="0"/>
              </w:rPr>
              <w:t xml:space="preserve">SA.116227 (2024/N) - Providing of safe berthing of Ro-Ro ferries in the port of Liepaja / Applicability of Article 56b of the General Block Exemption Regulation</w:t>
            </w:r>
            <w:r w:rsidR="00000000" w:rsidRPr="00000000" w:rsidDel="00000000">
              <w:rPr>
                <w:rtl w:val="0"/>
              </w:rPr>
              <w:t xml:space="preserve"> ietvaros (Eiropas Komisijas viedoklis Viedās administrācijas un reģionālās attīstības ministrias un Liepājas speciālās ekonomiskās zonas pārsūtīts ar Finanšu ministrijas 2025.gada 27.marta vēstuli Nr. 7-2/18/957).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jauna finanšu atbalsta piešķiršanas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w:t>
            </w:r>
            <w:r w:rsidR="00000000" w:rsidRPr="00000000" w:rsidDel="00000000">
              <w:rPr>
                <w:rtl w:val="0"/>
              </w:rPr>
              <w:t xml:space="preserve">regulas Nr. 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Viens vienots uzņēmums ir uzņēmums, kas atbilst </w:t>
            </w:r>
            <w:r w:rsidR="00000000" w:rsidRPr="00000000" w:rsidDel="00000000">
              <w:rPr>
                <w:rtl w:val="0"/>
              </w:rPr>
              <w:t xml:space="preserve">regulas Nr. 2023/2831</w:t>
            </w:r>
            <w:r w:rsidR="00000000" w:rsidRPr="00000000" w:rsidDel="00000000">
              <w:rPr>
                <w:rtl w:val="0"/>
              </w:rPr>
              <w:t xml:space="preserve"> 2. panta 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39. punktā minētie nosacījumi attiecas uz atbalstu, kas ir de minimis atbalsts, nevis kāds cits finanšu atbalsts, lūdzam precizēt noteikumu projekta 39.2. apakšpunkta pirmo teikuma daļu, piemēram, piedāvātajā redakcijā: "piešķirot de minimis atbalstu, atbalsta sniedzējs pārbauda,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komercdarbības atbalstu sniedz saskaņā ar </w:t>
            </w:r>
            <w:r w:rsidR="00000000" w:rsidRPr="00000000" w:rsidDel="00000000">
              <w:rPr>
                <w:rtl w:val="0"/>
              </w:rPr>
              <w:t xml:space="preserve">regulas Nr. 651/2014</w:t>
            </w:r>
            <w:r w:rsidR="00000000" w:rsidRPr="00000000" w:rsidDel="00000000">
              <w:rPr>
                <w:rtl w:val="0"/>
              </w:rPr>
              <w:t xml:space="preserve"> 56.b pantu, sadarbības iestāde nodrošina projekta uzraudzību projekta dzīves ciklā.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būtu skaidrs, ka projekta uzraudzība ir jānodrošina ieguldījumu amortizācijas periodā, lūdzam noteikumu projekta 44.punktā vārdus "projekta dzīves ciklā" aizstāt ar vārdiem "ieguldījumu amortizācijas periodā", vai arī iekļaut anotācijā skaidrojumu, kas jāsaprot ar projekta dzīves ciklu. Vienlaikus lūdzam noteikumu projektu papildināt ar normu, ka ieguldījumu amortizācijas periodā ir jānodrošina arī infrastruktūras, kam netiek piešķirts komercdarbības atbalsts, uzraudzība.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sniegto informāciju, ne tikai par atbilstību īstenošanas regulas (ES) 2021/1328 [1] nosacījumiem, bet arī prasībām, kuras iekļautas ReArm regulā (ES) 2025/1914 [2] attiecībā uz ieguldījumiem militārajā mobilitātē, t.sk. regulā (ES) 2021/1153 [3] noteiktajām prasībām divejāda lietojuma infrastruktūrai, t.i. skaidrot kā tiks nodrošināts, ka projekti atbildīs minētajām prasībām, nepieciešamības gadījumā papildinot noteikumu projektu ar attiecīgiem nosacījumiem vai projektu iesniegumu vērtēšanas kritērijus ar attiecīgiem specifiskās atbilstības kritērijiem. Citos gadījumos divējāda lietojuma infrastruktūrai regulējums (piemēram, investīcijas Sēlijas poligona pievedceļam) paredz Aizsardzības ministrijas atzinumu par atbilstību tehniskajām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Eiropas Komisijas 2021.gada 10.augusta īstenošanas regula (ES) 2021/1328, ar ko saskaņā ar Eiropas Parlamenta un Padomes Regulu (ES) 2021/1153 precizē infrastruktūras prasības, kas piemērojamas konkrētām divējāda lietojuma infrastruktūras darbību kategorijām</w:t>
            </w:r>
            <w:r w:rsidR="00000000" w:rsidRPr="00000000" w:rsidDel="00000000">
              <w:rPr>
                <w:i w:val="1"/>
                <w:rtl w:val="0"/>
              </w:rPr>
              <w:t xml:space="preserve">[2] Eiropas Parlamenta un Padomes 2025.gada 18.sepbemra regula (ES) 2025/1914, ar ko groza Regulas (ES) 2021/1058 un (ES) 2021/1056 attiecībā uz īpašiem pasākumiem stratēģisku problēmu risināšanai vidusposma pārskatīšanas kontekstā</w:t>
            </w:r>
            <w:r w:rsidR="00000000" w:rsidRPr="00000000" w:rsidDel="00000000">
              <w:rPr>
                <w:i w:val="1"/>
                <w:rtl w:val="0"/>
              </w:rPr>
              <w:t xml:space="preserve">[3] Eiropas Parlamenta un Padomes 2021.gada 7.jūlija regula (ES)  2021/1153 ar ko izveido Eiropas infrastruktūras savienošanas instrumentu un atceļ Regulas (ES) Nr. 1316/2013 un (ES) Nr. 283/2014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5.4.punkta 1. tabulu ar informāciju, ka Satiksmes ministrija 20 darba dienu laikā no noteikumu projekta spēkā stāšanās, izmantojot SANI2 sistēmu, iesniegs Eiropas Komisijai kopsavilkuma informāciju par pasākumu.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ietvaros ir attiecināmas šādas projekta tiešās attiecināmās izmaksas, kas ir tieši saistītas ar projekta īstenošanu un nepieciešamas projekta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informāciju, kuras no noteikumu projekta 16.punktā minētajām attiecināmajām izmaksām attiecas konkrēti uz 12.1., 12.2. un 12.3.apakšpunktā minētajām atbalstāmajām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Izmaksas ir attiecināmas no projekta iesnieguma iesniegšanas dienas Kohēzijas politikas fondu vadības informācijas sistēmā. Būvdarbu līgumu slēdz un ar ieguldījumiem saistītus būvdarbus uzsāk pēc projekta iesnieguma iesniegšanas, izņemot aktivitātēm, kas netiek  klasificētas kā komercdarbības atbalsts, kā arī projektu pamatojošās dokumentācijas sagatavošanas izmaksas, kas ir attiecināmas, ja tās veiktas pēc 2025. gada 29.maija.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noteiktos nosacījumus, lai nerastos interpretācijas problēmas, aicinām noteikumu projekta anotācijā ietvert detalizētāku pamatojumu, kas noteikumu projekta 19.punkta izpratnē saprotams ar projekta pamatojošām dokumentācijas sagatavošanas izmaksām, kas ir attiecināmas pēc 2025. gada 29.maija.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Izmaksas, kas saskaņā ar šiem noteikumiem nav iekļaujamas kā attiecināmās izmaksas vai pārsniedz katram projekta iesniedzējam pieejamo attiecināmo izmaksu apjomu, ir finansējamas ārpus projekta. Ārpus projekta finansējamās izmaksas, kuru finansēšana būtu kvalificējama kā komercdarbības atbalsts, finansējamas no līdzekļiem, kas ir brīvi no jebkāda komercdarbības atbalsta, ja nav iespējams piemērot šo noteikumu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paredzēto atbalstu, kas noteikts </w:t>
            </w:r>
            <w:r w:rsidR="00000000" w:rsidRPr="00000000" w:rsidDel="00000000">
              <w:rPr>
                <w:rtl w:val="0"/>
              </w:rPr>
              <w:t xml:space="preserve">Komisijas 2023. gada 13. decembra Regulā Nr. 2023/2831 par Līguma par Eiropas Savienības darbību 107. un 108. panta piemērošanu de minimis atbalstam</w:t>
            </w:r>
            <w:r w:rsidR="00000000" w:rsidRPr="00000000" w:rsidDel="00000000">
              <w:rPr>
                <w:rtl w:val="0"/>
              </w:rPr>
              <w:t xml:space="preserve"> (turpmāk – regula Nr. 2023/2831), tai skaitā projekta īstenošanas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20.punkta pirmo teikumu ar norādi no kādiem līdzekļiem tiks segtas izmaksas ārpus projekta, lai nerastos interpretācijas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Izmaksas, kas saskaņā ar šiem noteikumiem nav iekļaujamas kā attiecināmās izmaksas vai pārsniedz katram projekta iesniedzējam pieejamo attiecināmo izmaksu apjomu, ir finansējamas ārpus projekta par finansējuma saņēmēja līdzekļiem. Ārpus projekta finansējamās izmaksas, kuru finansēšana būtu kvalificējama kā komercdarbības atbalsts, finansējamas no līdzekļiem, kas ir brīvi no jebkāda komercdarbības atbalsta, ja nav iespējams piemērot šo noteikumu 39. punktā paredzēto atbalstu, kas noteikts Komisijas 2023. gada 13. decembra Regulā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 tai skaitā projekta īstenošanas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atbalsts tiek piešķirts kā komercdarbības atbalsts, projekta īstenošanas gaitā radušās sadārdzinājuma izmaksas finansējuma saņēmējs sedz no saviem līdzekļiem, kas brīvi no jebkāda komercdarbības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fondu ietvaros finansējuma saņēmējs sedz sadārdzinājumu, neatkarīgi no tā ir vai nav projekta ietvaros piešķirts komercdarbības atbalsts. Tādejādi lūdzam precizēt noteikumu projekta 22.punktu.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16.10. </w:t>
            </w:r>
            <w:r w:rsidR="00000000" w:rsidRPr="00000000" w:rsidDel="00000000">
              <w:rPr>
                <w:rtl w:val="0"/>
              </w:rPr>
              <w:t xml:space="preserve">apakšpunktā</w:t>
            </w:r>
            <w:r w:rsidR="00000000" w:rsidRPr="00000000" w:rsidDel="00000000">
              <w:rPr>
                <w:rtl w:val="0"/>
              </w:rPr>
              <w:t xml:space="preserve"> minētās izmaksas ir attiecināmas, piemērojot</w:t>
            </w:r>
            <w:r w:rsidR="00000000" w:rsidRPr="00000000" w:rsidDel="00000000">
              <w:rPr>
                <w:i w:val="1"/>
                <w:rtl w:val="0"/>
              </w:rPr>
              <w:t xml:space="preserve"> de minimis</w:t>
            </w:r>
            <w:r w:rsidR="00000000" w:rsidRPr="00000000" w:rsidDel="00000000">
              <w:rPr>
                <w:rtl w:val="0"/>
              </w:rPr>
              <w:t xml:space="preserve"> atbalsta nosacījumus, ja tās radušās pirms projekta iesnieguma iesniegšanas vadības informācijas sistēmā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minēto darbību īstenošanas nodrošināšanai un ir uzsāktas ne agrāk par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noteikto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23.punkta izriet, ka noteikumu projekta 16.10. apakšpunktā minētās izmaksas ir attiecināmas, piemērojot </w:t>
            </w:r>
            <w:r w:rsidR="00000000" w:rsidRPr="00000000" w:rsidDel="00000000">
              <w:rPr>
                <w:i w:val="1"/>
                <w:rtl w:val="0"/>
              </w:rPr>
              <w:t xml:space="preserve">de minimis</w:t>
            </w:r>
            <w:r w:rsidR="00000000" w:rsidRPr="00000000" w:rsidDel="00000000">
              <w:rPr>
                <w:rtl w:val="0"/>
              </w:rPr>
              <w:t xml:space="preserve"> atbalsta nosacījumus, </w:t>
            </w:r>
            <w:r w:rsidR="00000000" w:rsidRPr="00000000" w:rsidDel="00000000">
              <w:rPr>
                <w:u w:val="single"/>
                <w:rtl w:val="0"/>
              </w:rPr>
              <w:t xml:space="preserve">ja tās radušās pirms projekta iesnieguma iesniegšanas</w:t>
            </w:r>
            <w:r w:rsidR="00000000" w:rsidRPr="00000000" w:rsidDel="00000000">
              <w:rPr>
                <w:rtl w:val="0"/>
              </w:rPr>
              <w:t xml:space="preserve">. Lūdzam skaidrot noteikumu projekta anotācijas ietvaros kādi komunikācijas un vizuālās identitātes pasākumi tiks nodrošināti </w:t>
            </w:r>
            <w:r w:rsidR="00000000" w:rsidRPr="00000000" w:rsidDel="00000000">
              <w:rPr>
                <w:u w:val="single"/>
                <w:rtl w:val="0"/>
              </w:rPr>
              <w:t xml:space="preserve">pirms iesniegts projekta iesniegums.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projekta V. nodaļu izteikt piedāvātajā redakcijā, ņemot vērā, ka tās saturs ietver komercdarbības atbalsta nosacījumus.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Komercdarbības atbalsta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Par komercdarbības atbalsta piešķiršanas brīdi uzskata dienu, kad pieņemts atbalsta sniedzēja lēmums par projekta apstiprināšanu vai atzinums par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w:t>
            </w:r>
            <w:r w:rsidR="00000000" w:rsidRPr="00000000" w:rsidDel="00000000">
              <w:rPr>
                <w:i w:val="1"/>
                <w:rtl w:val="0"/>
              </w:rPr>
              <w:t xml:space="preserve">de minimis</w:t>
            </w:r>
            <w:r w:rsidR="00000000" w:rsidRPr="00000000" w:rsidDel="00000000">
              <w:rPr>
                <w:rtl w:val="0"/>
              </w:rPr>
              <w:t xml:space="preserve"> atbalsta piešķiršanu saskaņā ar regulu 2023/2831 [1] aicinām par atbalsta piešķiršanas brīdi noteikt brīdi, kad sadarbības iestāde ir pieņēmusi lēmumu par komercdarbības atbalsta piešķiršanu finansējuma saņēmējam. Tas dotu iespēju </w:t>
            </w:r>
            <w:r w:rsidR="00000000" w:rsidRPr="00000000" w:rsidDel="00000000">
              <w:rPr>
                <w:i w:val="1"/>
                <w:rtl w:val="0"/>
              </w:rPr>
              <w:t xml:space="preserve">de minimis</w:t>
            </w:r>
            <w:r w:rsidR="00000000" w:rsidRPr="00000000" w:rsidDel="00000000">
              <w:rPr>
                <w:rtl w:val="0"/>
              </w:rPr>
              <w:t xml:space="preserve"> atbalstu piešķirt arī projekta īstenošanas laikā, jo, ņemot vērā, ka de minimis atbalstam ir noteikts ierobežojums attiecībā uz </w:t>
            </w:r>
            <w:r w:rsidR="00000000" w:rsidRPr="00000000" w:rsidDel="00000000">
              <w:rPr>
                <w:i w:val="1"/>
                <w:rtl w:val="0"/>
              </w:rPr>
              <w:t xml:space="preserve">de minimis</w:t>
            </w:r>
            <w:r w:rsidR="00000000" w:rsidRPr="00000000" w:rsidDel="00000000">
              <w:rPr>
                <w:rtl w:val="0"/>
              </w:rPr>
              <w:t xml:space="preserve"> atbalsta robežlielumu (300 000 EUR trīs gadu laikā), ir iespējama situācija, ka projekta apstiprināšanas brīdī nav iespējams projekta iesniedzējam piešķirt visu nepieciešamo de minimis atbalstu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Eiropas Komisijas 2023.gada 13.decembra Regula (ES) 2023/2831 par Līguma par Eiropas Savienības darbību 107. un 108. panta piemērošanu de minimis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Finansējuma saņēmējs nodrošina interešu konflikta neesību saskaņā ar </w:t>
            </w:r>
            <w:r w:rsidR="00000000" w:rsidRPr="00000000" w:rsidDel="00000000">
              <w:rPr>
                <w:rtl w:val="0"/>
              </w:rPr>
              <w:t xml:space="preserve">Eiropas Parlamenta un Padomes 2024. gada 23. septembra Regulas Nr. 2024/2509 par finanšu noteikumiem, ko piemēro Savienības vispārējam budžetam</w:t>
            </w:r>
            <w:r w:rsidR="00000000" w:rsidRPr="00000000" w:rsidDel="00000000">
              <w:rPr>
                <w:rtl w:val="0"/>
              </w:rPr>
              <w:t xml:space="preserve"> 61. panta prasībām,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svītrot noteikumu projekta 42.4. apakšpunktu, ņemot vērā konkrētā specifiskā atbalsta mērķa projekta veidu un to, ka Eiropas Parlamenta un Padomes Regulas (ES, Euratom) 2024/2509 [1] 61. panta prasības ir tieši piemērojamas tādiem projektiem, kas saistīti ar Eiropas Savienības fondu atbalsta saņemšanu un vienlaikus kuros atbilstoši specifiskā atbalsta mērķim finansējuma saņēmējs atlases kārtībā Eiropas Savienības fondu projekta dalībniekiem vai gala saņēmējiem sniedz finansiālu atbalstu (t.s. daudzpakāpju projekti).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2024.gada 23.septembra Regula (ES, Euratom) 2024/2509 par finanšu noteikumiem, ko piemēro Savienības vispārējam budžetam (pārstrādāta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investīcijas īstenošanas laikā nodrošina nepieciešamās darbības un ievēro nosacījumus, kas identificēti horizontālā principa "Nenodarīt būtisku kaitējumu" novērtējumā, lai nodrošinātu, ka tiek novērsta vai mazināta pasākuma ietvaros atbalstāmo darbību ietekme uz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un nepieciešamības gadījumā papildināt noteikumu projekta 42.5.apakšpunktu ar konkrētām veicamajām darbībām, nosacījumiem finansējuma saņēmējiem, kas identificētas horizontālā principa “Nenodarīt būtisku kaitējumu”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42.6. ievēro horizontālo principu "Vienlīdzība, iekļaušana, nediskriminācija un pamattiesību 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ka horizontālajam principam “Vienlīdzība, iekļaušana, nediskriminācija un pamattiesību ievērošana” plānota netieša ietekme, lūdzam papildināt noteikumu projektu ar informāciju par vismaz vienu rādītāju, kādu plānots sasniegt šī horizontālā principa ietvaros, kā arī ar informāciju, kas un kādā veidā nodrošinās datu uzkrāšanu par šī rādītāja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42.7. nodrošina sasniegto rezultātu ilgtspēju vismaz piecus gadus pēc noslēguma maksājuma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papildināt ar informāciju, no kādiem līdzekļiem tiks nodrošināta pasākuma rezultātu/ radīto vērtību ilgtspēja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42.8. nodrošina komunikācijas un vizuālās identitātes prasības saskaņā ar </w:t>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47. un 50. pantu un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ka tiks nodrošināti projekta komunikācijas un vizuālās identitātes prasību izpildes pasākumi saskaņā ar noteikumu projekta 42.8. apakšpunktā minētajiem normatīvajiem aktiem </w:t>
            </w:r>
            <w:r w:rsidR="00000000" w:rsidRPr="00000000" w:rsidDel="00000000">
              <w:rPr>
                <w:u w:val="single"/>
                <w:rtl w:val="0"/>
              </w:rPr>
              <w:t xml:space="preserve">un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projektu iesniegumu vērtēšanas kritērijiem, t.i., vai tiks izmantoti esošie 3.1.1.6.pasākuma “Lielo ostu publiskās infrastruktūras attīstība” kritēriji, vai tajos tiks veikti tehniski precizējumi, vai tiks virzīts jauns kritēriju komplekts apstiprināšanai ES fondu uzraudzības komitejā 2021.- 2027.gadam.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vai pasākumam būs tieša vai entieša ietekme uz horizontālajiem principiem “Klimatdrošināšana” un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plānotajiem projektu iesniedzējiem, t.i., papildināt ar skaidrojumu, kas pamato izvēlēto projektu iesniedzēju loku, veikto priekšatlasi, kāpēc tieši konkrētos projektu iesniedzējus plānots uzaicināt iesniegt projektu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2.2.sadaļu "Tiesiskā regulējuma ietekme uz tautsaimniecību" ar novērtējumu par plānoto ietekmi uz tautsaimniecību, t.sk. norādot pēc iespējas izmērāmus faktiski sagaidāmos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ailē “Turpmākie trīs gadi” gan 2026. gadam, gan 2027. gadam norādītos finansējuma apmērus pārcelt no ailes “saskaņā ar vidēja termiņa budžeta ietvaru” uz aili “izmaiņas, salīdzinot ar vidēja termiņa budžeta ietvaru” un anotācijas 3.sadaļas 6.punktā sniegt informāciju sadalījumā pa finansējuma avotiem un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3. sadaļas punktā “Cita informācija” norādīt, ka Kohēzijas fonda finansējums pasākumu īstenošanai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3.3. prioritātes "Militārās mobilitātes stiprināšana - dzelzceļš un ostas" 3.3.1. specifiskā atbalsta mērķa "Attīstīt noturīgu aizsardzības infrastruktūru, veicinot militāro mobilitāti Eiropas Savienībā" 3.3.1.2. pasākuma "Lielo ostu divējāda lietojuma publiskās infrastruktūras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punktu par atbalstu regulējuma apstiprināšanai un investīciju uzsākšanai pirms Eiropas Komisijas lēmuma par Eiropas Savienības kohēzijas politikas programmas 2021.-2027.gadam grozījumiem un attiecīgi Satiksmes ministrijas plānoto rīcību gadījumā, ja izskatīšanas ietvaros neatbalsta 3.3.1.2.pasākumu "Lielo ostu divejāda lietojuma publiskās infrastruktūra" vai kādas tā ietvaros plānotās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25-TA-2127</w:t>
    </w:r>
    <w:r>
      <w:br/>
    </w:r>
    <w:r w:rsidR="00000000" w:rsidRPr="00000000" w:rsidDel="00000000">
      <w:rPr>
        <w:rtl w:val="0"/>
      </w:rPr>
      <w:t xml:space="preserve">Izdrukāts 21.10.2025.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25-TA-2127</w:t>
    </w:r>
    <w:r>
      <w:br/>
    </w:r>
    <w:r w:rsidR="00000000" w:rsidRPr="00000000" w:rsidDel="00000000">
      <w:rPr>
        <w:rtl w:val="0"/>
      </w:rPr>
      <w:t xml:space="preserve">Izdrukāts 21.10.2025.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Atzinumi_25-TA-2127.docx</dc:title>
</cp:coreProperties>
</file>

<file path=docProps/custom.xml><?xml version="1.0" encoding="utf-8"?>
<Properties xmlns="http://schemas.openxmlformats.org/officeDocument/2006/custom-properties" xmlns:vt="http://schemas.openxmlformats.org/officeDocument/2006/docPropsVTypes"/>
</file>