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Pārejas periods piemērots Eiropas Komisijas apstiprinātos grozījumus Komisijas regulā Nr.651/2014, līdz brīdim, kad tie stāsies spēkā, nākamajā dienā pēc to publicēšanas Eiropas Savienības Oficiālajā Vēstnesī.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noteikumu projekta 20.'punktā izteikto 65. punktu, jo no tā pašreizējās redakcijas nav saprotams tiesiskā regulējuma saturs. Tai skaitā nav saprotams, kas ir "pārejas periods" un kāds ir "pārejas periods", kam to piemēro, kāds 65. punktam ir sakars ar pārējo noteikumu projektu, kāpēc Ministru kabineta noteikumos tiek regulēti Eiropas Savienības regulu spēkā stāšanās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Administratīvām vienībām Limbažu novadā, Ogres novadā, Saulkrastu novadā un Tukuma novadā piemēro 30% lielajiem komersantiem, 40% vidējiem komersantiem vai 50% sīkajiem (mikro) vai mazajiem komersantiem.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saprotams ar noteikumu projekta 4. un 5. punktā (noteikumu 35.3. un 36.3. apakšpunktā) minētajām "administratīvām vienībām" un nepieciešamības gadījumā precizēt noteikumu projektu. Vēršam uzmanību, ka Administratīvo teritoriju un apdzīvoto vietu likumā izmantoti termini "administratīvā teritorija" un "teritoriālā iedalījuma vienība".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 Iekšlietu ministrijas Informācijas centrs (Sodu reģistrs) sniedz ziņas par minētajiem Krimināllikuma, Konkurences likuma, Imigrācijas likuma, Darba likuma un likuma Par nodokļiem un nodevām pārkāpumiem.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projektā paredzēto 39.</w:t>
            </w:r>
            <w:r w:rsidR="00000000" w:rsidRPr="00000000" w:rsidDel="00000000">
              <w:rPr>
                <w:vertAlign w:val="superscript"/>
                <w:rtl w:val="0"/>
              </w:rPr>
              <w:t xml:space="preserve">2 </w:t>
            </w:r>
            <w:r w:rsidR="00000000" w:rsidRPr="00000000" w:rsidDel="00000000">
              <w:rPr>
                <w:rtl w:val="0"/>
              </w:rPr>
              <w:t xml:space="preserve">punktu, ņemot vērā, ka Sodu reģistrā tiek iekļautas ziņas par </w:t>
            </w:r>
            <w:r w:rsidR="00000000" w:rsidRPr="00000000" w:rsidDel="00000000">
              <w:rPr>
                <w:u w:val="single"/>
                <w:rtl w:val="0"/>
              </w:rPr>
              <w:t xml:space="preserve">noziedzīgus nodarījumus un administratīvos pārkāpumus</w:t>
            </w:r>
            <w:r w:rsidR="00000000" w:rsidRPr="00000000" w:rsidDel="00000000">
              <w:rPr>
                <w:rtl w:val="0"/>
              </w:rPr>
              <w:t xml:space="preserve"> izdarījušām personām. Tāpat lūdzam precizēt atsauci uz "minētajiem", jo no punkta redakcijas nav viennozīmīgi skaidrs, vai atsauce izdarīta uz iepriekšējā punktā (39.</w:t>
            </w:r>
            <w:r w:rsidR="00000000" w:rsidRPr="00000000" w:rsidDel="00000000">
              <w:rPr>
                <w:vertAlign w:val="superscript"/>
                <w:rtl w:val="0"/>
              </w:rPr>
              <w:t xml:space="preserve">1</w:t>
            </w:r>
            <w:r w:rsidR="00000000" w:rsidRPr="00000000" w:rsidDel="00000000">
              <w:rPr>
                <w:rtl w:val="0"/>
              </w:rPr>
              <w:t xml:space="preserve">punktā) minētajiem nodarījumiem un pārkāpumiem, vai 39. punktā, vai citās noteikumu normās minētajiem nodarījumiem un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arī uzmanību, ka šajā punktā nekorekti lietots skaidrojums iekavās (Sodu reģistrs). Norādām, ka Sodu reģistrs ir </w:t>
            </w:r>
            <w:r w:rsidR="00000000" w:rsidRPr="00000000" w:rsidDel="00000000">
              <w:rPr>
                <w:u w:val="single"/>
                <w:rtl w:val="0"/>
              </w:rPr>
              <w:t xml:space="preserve">valsts informācijas sistēma</w:t>
            </w:r>
            <w:r w:rsidR="00000000" w:rsidRPr="00000000" w:rsidDel="00000000">
              <w:rPr>
                <w:rtl w:val="0"/>
              </w:rPr>
              <w:t xml:space="preserve">, savukārt šīs sistēmas </w:t>
            </w:r>
            <w:r w:rsidR="00000000" w:rsidRPr="00000000" w:rsidDel="00000000">
              <w:rPr>
                <w:u w:val="single"/>
                <w:rtl w:val="0"/>
              </w:rPr>
              <w:t xml:space="preserve">pārzinis un turētājs</w:t>
            </w:r>
            <w:r w:rsidR="00000000" w:rsidRPr="00000000" w:rsidDel="00000000">
              <w:rPr>
                <w:rtl w:val="0"/>
              </w:rPr>
              <w:t xml:space="preserve"> ir Iekšlietu ministrijas Informācijas centrs.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Piemērot principu "nenodarīt būtisku kaitējumu" saskaņā ar regulas Nr. 2021/241 5. panta 2. punktu. Sabiedrība "Altum" ar gala labuma guvēju iekļauj informāciju, ka neatbalsta iniciatīvas, kas nodara būtisku kaitējumu. Šī apakšpunkta prasību ievērošana jānodrošina visa gala labuma guvēja investīciju projekta īstenošanas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frāzi "Sabiedrība "Altum" ar gala labuma guvēju iekļauj informāciju", norādot, kur tiek iekļauta attiecīgā informācija (piemēram, līgumā par investīciju projekta īstenošanu). Norāmām arī, ka, ņemot vērā notiekumu 62. punktā minēto uzskaitījumu, secināms, ka šādi izslēdzoši apstākļi nebūtu norādāmi kā "informācija", bet kā projekta īstenošanas līguma noteikumi.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precizēt 62. punkta ievaddaļas otro teikumu, jo nav skaidrs, par kādu "apakšpunktu"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07.06.2023. 15.06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07.06.2023. 15.06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Atzinumi_22-TA-3389.docx</dc:title>
</cp:coreProperties>
</file>

<file path=docProps/custom.xml><?xml version="1.0" encoding="utf-8"?>
<Properties xmlns="http://schemas.openxmlformats.org/officeDocument/2006/custom-properties" xmlns:vt="http://schemas.openxmlformats.org/officeDocument/2006/docPropsVTypes"/>
</file>