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25-TA-916: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22. augusta noteikumos Nr. 499 "Muitas atļauju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anotācijas 1.3. sadaļas 7. punkta par noteikumu projekta 16. punktu astoto rindkopu atbilstoši Ministru kabineta 2017. gada 22. augusta noteikumu Nr. 499 "Muitas atļauju noteikumi" (turpmāk - Noteikumi Nr. 499) 1.3. apakšpunktam un Administratīvā procesa likumā lietotajai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Noteikumu Nr. 449 1.3. apakšpunktam šie noteikumi nosaka kārtību, kādā </w:t>
            </w:r>
            <w:r w:rsidR="00000000" w:rsidRPr="00000000" w:rsidDel="00000000">
              <w:rPr>
                <w:u w:val="single"/>
                <w:rtl w:val="0"/>
              </w:rPr>
              <w:t xml:space="preserve">izsniedz, groza, aptur, atjauno, atceļ un anulē</w:t>
            </w:r>
            <w:r w:rsidR="00000000" w:rsidRPr="00000000" w:rsidDel="00000000">
              <w:rPr>
                <w:rtl w:val="0"/>
              </w:rPr>
              <w:t xml:space="preserve"> atļauju izmantot atzītā nosūtītāja statusu un atļauju izmantot atzītā saņēmēja statusu un neparedz minēto atļauju atsaukšanu. Turklāt arī Administratīvā procesa likums neparedz administratīvā akta (atļaujas) atsaukšanu.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Muitas atļauju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 punkts paredz papildināt norādi uz Noteikumu Nr. 499 izdošanas tiesisko pamatu ar norādi uz Muitas likuma 25. panta otrās daļas 5. punktu un 25.</w:t>
            </w:r>
            <w:r w:rsidR="00000000" w:rsidRPr="00000000" w:rsidDel="00000000">
              <w:rPr>
                <w:vertAlign w:val="superscript"/>
                <w:rtl w:val="0"/>
              </w:rPr>
              <w:t xml:space="preserve">2</w:t>
            </w:r>
            <w:r w:rsidR="00000000" w:rsidRPr="00000000" w:rsidDel="00000000">
              <w:rPr>
                <w:rtl w:val="0"/>
              </w:rPr>
              <w:t xml:space="preserve"> panta ceturto un piekto daļu. Likumprojektu "Grozījumi Muitas likumā" (24-TA-2344) (turpmāk - likumprojekts), kas cita starpā paredz papildināt Muitas likumu ar 25. panta otrās daļas 5. punktu un 25.</w:t>
            </w:r>
            <w:r w:rsidR="00000000" w:rsidRPr="00000000" w:rsidDel="00000000">
              <w:rPr>
                <w:vertAlign w:val="superscript"/>
                <w:rtl w:val="0"/>
              </w:rPr>
              <w:t xml:space="preserve">2</w:t>
            </w:r>
            <w:r w:rsidR="00000000" w:rsidRPr="00000000" w:rsidDel="00000000">
              <w:rPr>
                <w:rtl w:val="0"/>
              </w:rPr>
              <w:t xml:space="preserve"> panta ceturto un piekto daļu, Ministru kabinets atbalstīja 2026. gada 27. janvārī (</w:t>
            </w:r>
            <w:r w:rsidR="00000000" w:rsidRPr="00000000" w:rsidDel="00000000">
              <w:rPr>
                <w:i w:val="1"/>
                <w:rtl w:val="0"/>
              </w:rPr>
              <w:t xml:space="preserve">sk. Ministru kabineta 2026. gada 27. janvāra sēdes protokola Nr. 4 5. § 1. punktu</w:t>
            </w:r>
            <w:r w:rsidR="00000000" w:rsidRPr="00000000" w:rsidDel="00000000">
              <w:rPr>
                <w:rtl w:val="0"/>
              </w:rPr>
              <w:t xml:space="preserve">). Atbilstoši Likumdošanas datu bāzei minētais likumprojekts nav iesniegts Saeimā.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iestāžu juridisko dienestu vadītāju 2010. gada 12. marta sanāksmes protokola Nr. 2 1. § 8. punkts paredz, ka likumprojektā minētus noteikumu projektus izskata Valsts sekretāru sanāksmē, kad likumprojekts pieņemts otrajā lasījumā, savukārt Ministru kabinetā šādus noteikumu projektus izskata, kad likumprojekts pieņemts trešajā lasījumā. Ievērojot minēto, lūdzam virzīt noteikumu projektu saskaņošanai vienotajā tiesību aktu projektu izstrādes un saskaņošanas portālā pēc likumprojekta pieņemšanas Saeimā otrajā lasījumā.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nosacījumus un kārtību, kādā iesniedz Eiropas Parlamenta un Padomes 2023. gada 10. maija Regulas (ES) 2023/956, ar ko izveido oglekļa ievedkorekcijas mehānismu (turpmāk – regula Nr. 2023/956) 17.pantā noteiktā atzītā oglekļa ievedkorekcijas mehānisma (turpmāk – OIM) deklarētāja statusa iesniegumu; piešķir, groza un atsauc atzītā OIM deklarētāja statusu, kā arī izdod un paziņo lēmumu par atzītā OIM deklarētāja statusa piešķiršanu vai atsaukšanu.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 punktā piedāvāto Noteikumu Nr. 499 1.9. apakšpunktu atbilstoši likumprojekta 25. panta otrās daļas 5. punktā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3. februāra noteikumu Nr. 108 "Normatīvo aktu projektu sagatavošanas noteikumi" (turpmāk – Noteikumi Nr. 108) 100. punkts noteic, ka Ministru kabineta noteikumu projekta 1.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 Norādām, ka likumprojekta 25. panta otrās daļas 5. punkts paredz pilnvarojumu Ministru kabinetam noteikt Eiropas Parlamenta un Padomes 2023. gada 10. maija Regulā (ES) 2023/956, ar ko izveido oglekļa ievedkorekcijas mehānismu (turpmāk – regula 2023/956) minētā atzītā oglekļa ievedkorekcijas mehānisma (turpmāk – OIM) </w:t>
            </w:r>
            <w:r w:rsidR="00000000" w:rsidRPr="00000000" w:rsidDel="00000000">
              <w:rPr>
                <w:u w:val="single"/>
                <w:rtl w:val="0"/>
              </w:rPr>
              <w:t xml:space="preserve">deklarētāja statusa iesnieguma iesniegšanas, atzītā OIM deklarētāja statusa piešķiršanas, grozījumu izdarīšanas un atsaukšanas nosacījumus un kārtību, kā arī lēmuma par atzītā OIM deklarētāja statusa piešķiršanu vai atsaukšanu izdošanas un paziņošanas nosacījumus un kārtību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Iesniegumu atzītā eksportētāja atļaujas saņemšanai, grozīšanai, apturēšanai un atcelšanai un ar to saistītos dokumentus Valsts ieņēmumu dienestā iesniedz, izmantojot Valsts ieņēmumu dienesta elektroniskās deklarēšanas sistēmu (EDS).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6. punktā piedāvāto Noteikumu Nr. 499 3.</w:t>
            </w:r>
            <w:r w:rsidR="00000000" w:rsidRPr="00000000" w:rsidDel="00000000">
              <w:rPr>
                <w:vertAlign w:val="superscript"/>
                <w:rtl w:val="0"/>
              </w:rPr>
              <w:t xml:space="preserve">2</w:t>
            </w:r>
            <w:r w:rsidR="00000000" w:rsidRPr="00000000" w:rsidDel="00000000">
              <w:rPr>
                <w:rtl w:val="0"/>
              </w:rPr>
              <w:t xml:space="preserve"> punktu un noteikumu projekta 8. punktā piedāvāto Noteikumu Nr. 499 4.</w:t>
            </w:r>
            <w:r w:rsidR="00000000" w:rsidRPr="00000000" w:rsidDel="00000000">
              <w:rPr>
                <w:vertAlign w:val="superscript"/>
                <w:rtl w:val="0"/>
              </w:rPr>
              <w:t xml:space="preserve">2</w:t>
            </w:r>
            <w:r w:rsidR="00000000" w:rsidRPr="00000000" w:rsidDel="00000000">
              <w:rPr>
                <w:rtl w:val="0"/>
              </w:rPr>
              <w:t xml:space="preserve"> punktu atbilstoši Noteikumu Nr. 499 1.6. 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499 1.6. apakšpunktam šie noteikumi nosaka kārtību, kādā </w:t>
            </w:r>
            <w:r w:rsidR="00000000" w:rsidRPr="00000000" w:rsidDel="00000000">
              <w:rPr>
                <w:u w:val="single"/>
                <w:rtl w:val="0"/>
              </w:rPr>
              <w:t xml:space="preserve">izsniedz, groza, atceļ un anulē</w:t>
            </w:r>
            <w:r w:rsidR="00000000" w:rsidRPr="00000000" w:rsidDel="00000000">
              <w:rPr>
                <w:rtl w:val="0"/>
              </w:rPr>
              <w:t xml:space="preserve"> atzītā eksportētāja atļauju patstāvīgi deklarēt preču izcelsmi. Noteikumu projekta 6. punktā piedāvātais Noteikumu Nr. 499 3.</w:t>
            </w:r>
            <w:r w:rsidR="00000000" w:rsidRPr="00000000" w:rsidDel="00000000">
              <w:rPr>
                <w:vertAlign w:val="superscript"/>
                <w:rtl w:val="0"/>
              </w:rPr>
              <w:t xml:space="preserve">2</w:t>
            </w:r>
            <w:r w:rsidR="00000000" w:rsidRPr="00000000" w:rsidDel="00000000">
              <w:rPr>
                <w:rtl w:val="0"/>
              </w:rPr>
              <w:t xml:space="preserve"> punkts paredz iesnieguma atzītā eksportētāja atļaujas </w:t>
            </w:r>
            <w:r w:rsidR="00000000" w:rsidRPr="00000000" w:rsidDel="00000000">
              <w:rPr>
                <w:u w:val="single"/>
                <w:rtl w:val="0"/>
              </w:rPr>
              <w:t xml:space="preserve">saņemšanai, grozīšanai, apturēšanai un atcelšanai</w:t>
            </w:r>
            <w:r w:rsidR="00000000" w:rsidRPr="00000000" w:rsidDel="00000000">
              <w:rPr>
                <w:rtl w:val="0"/>
              </w:rPr>
              <w:t xml:space="preserve"> iesniegšanas kārtību, savukārt noteikumu projekta 8. punktā piedāvātais Noteikumu Nr. 499 4.2 punkts paredz lēmuma par atzītā eksportētāja atļauju </w:t>
            </w:r>
            <w:r w:rsidR="00000000" w:rsidRPr="00000000" w:rsidDel="00000000">
              <w:rPr>
                <w:u w:val="single"/>
                <w:rtl w:val="0"/>
              </w:rPr>
              <w:t xml:space="preserve">izsniegšanu, grozīšanu, apturēšanu, atjaunošanu, atcelšanu un anulēšanu</w:t>
            </w:r>
            <w:r w:rsidR="00000000" w:rsidRPr="00000000" w:rsidDel="00000000">
              <w:rPr>
                <w:rtl w:val="0"/>
              </w:rPr>
              <w:t xml:space="preserve"> paziņošanas kārtību. Vēršam uzmanību, ka atļaujas (administratīvā akta) apturēšana un anulēšana ir atšķirīgas procesuālās darbības, kas attiecīgi rada atšķirīgas tiesiskās sekas, tādējādi minētie jēdzieni ir nodalāmi un tie nevar tikt lietoti kā sinonīmi.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Lai saņemtu atzītā uzņēmēja atļauju, uzņēmējs iesniedz iesniegumu šo noteikumu 3.</w:t>
            </w:r>
            <w:r w:rsidR="00000000" w:rsidRPr="00000000" w:rsidDel="00000000">
              <w:rPr>
                <w:vertAlign w:val="superscript"/>
                <w:rtl w:val="0"/>
              </w:rPr>
              <w:t xml:space="preserve">1</w:t>
            </w:r>
            <w:r w:rsidR="00000000" w:rsidRPr="00000000" w:rsidDel="00000000">
              <w:rPr>
                <w:rtl w:val="0"/>
              </w:rPr>
              <w:t xml:space="preserve"> punktā minētajā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 un 19. punktā piedāvāto Noteikumu Nr. 499 33. un 37. punktu, norādot, kurā elektroniskajā sistēmā šajos punktos minētais iesniegums iesniedzams.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Nr. 499 3.</w:t>
            </w:r>
            <w:r w:rsidR="00000000" w:rsidRPr="00000000" w:rsidDel="00000000">
              <w:rPr>
                <w:vertAlign w:val="superscript"/>
                <w:rtl w:val="0"/>
              </w:rPr>
              <w:t xml:space="preserve">1</w:t>
            </w:r>
            <w:r w:rsidR="00000000" w:rsidRPr="00000000" w:rsidDel="00000000">
              <w:rPr>
                <w:rtl w:val="0"/>
              </w:rPr>
              <w:t xml:space="preserve"> punktā norādītas divas elektroniskās sistēmas – Komisijas 2015. gada 24. novembra Īstenošanas regulas (ES) Nr. 2015/2447, ar ko paredz sīki izstrādātus noteikumus, kas vajadzīgi, lai īstenotu konkrētus noteikumus Eiropas Parlamenta un Padomes Regulā (ES) Nr. 952/2013, ar ko izveido Savienības Muitas kodeksu (turpmāk - regula Nr. 952/2013), 30. panta 1. punktā noteiktā elektroniskā sistēma un Valsts ieņēmumu dienesta elektroniskā deklarēšanas sistēma (EDS). Papildus norādām, ka Noteikumu Nr. 499 3.</w:t>
            </w:r>
            <w:r w:rsidR="00000000" w:rsidRPr="00000000" w:rsidDel="00000000">
              <w:rPr>
                <w:vertAlign w:val="superscript"/>
                <w:rtl w:val="0"/>
              </w:rPr>
              <w:t xml:space="preserve">1</w:t>
            </w:r>
            <w:r w:rsidR="00000000" w:rsidRPr="00000000" w:rsidDel="00000000">
              <w:rPr>
                <w:rtl w:val="0"/>
              </w:rPr>
              <w:t xml:space="preserve"> punktā pieteikts Komisijas 2015. gada 24. novembra Īstenošanas regulas (ES) Nr. 2015/2447, ar ko paredz sīki izstrādātus noteikumus, kas vajadzīgi, lai īstenotu konkrētus noteikumus Eiropas Parlamenta un Padomes Regulā (ES) Nr. 952/2013, ar ko izveido Savienības Muitas kodeksu, 30. panta 1. punktā noteiktā elektroniskā sistēmas saīsinājums – "AEO sistēma". Ja noteikumu projekta 18. un 19. punktā piedāvātais Noteikumu Nr. 499 33. un 37. punkts attiecināms uz AEO sistēmu, aicinām iekšējās atsauces vietā izmantot pieteikto saīsinājumu.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2</w:t>
            </w:r>
            <w:r w:rsidR="00000000" w:rsidRPr="00000000" w:rsidDel="00000000">
              <w:rPr>
                <w:rtl w:val="0"/>
              </w:rPr>
              <w:t xml:space="preserve"> Lai saņemtu atzītā OIM deklarētāja statusu, persona iesniedz iesniegumu šo noteikumu 3.</w:t>
            </w:r>
            <w:r w:rsidR="00000000" w:rsidRPr="00000000" w:rsidDel="00000000">
              <w:rPr>
                <w:sz w:val="20"/>
                <w:vertAlign w:val="superscript"/>
                <w:rtl w:val="0"/>
              </w:rPr>
              <w:t xml:space="preserve">3</w:t>
            </w:r>
            <w:r w:rsidR="00000000" w:rsidRPr="00000000" w:rsidDel="00000000">
              <w:rPr>
                <w:rtl w:val="0"/>
              </w:rPr>
              <w:t xml:space="preserve"> punktā minētajā OIM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projektu, nedublējot Eiropas Parlamenta un Padomes 2023. gada 10. maija Regulas (ES) 2023/956, ar ko izveido oglekļa ievedkorekcijas mehānismu, prasības, piemēram, 5. panta 1., 3. punktu, 5. panta 7. punktu un 17. panta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Līguma par Eiropas Savienības darbību 288. 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w:t>
            </w:r>
            <w:r w:rsidR="00000000" w:rsidRPr="00000000" w:rsidDel="00000000">
              <w:rPr>
                <w:i w:val="1"/>
                <w:rtl w:val="0"/>
              </w:rPr>
              <w:t xml:space="preserve">Komisija pret Itāliju</w:t>
            </w:r>
            <w:r w:rsidR="00000000" w:rsidRPr="00000000" w:rsidDel="00000000">
              <w:rPr>
                <w:rtl w:val="0"/>
              </w:rPr>
              <w:t xml:space="preserve">,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 Konkrētajā gadījumā saskaņā ar minētās regulas 11. pantu katra dalībvalsts izraugās kompetento iestādi šajā regulā noteikto funkciju un pienākumu veikšanai, informē par to Komisiju un nodrošina, ka kompetentajai iestādei ir visas pilnvaras, kas nepieciešamas minēto funkciju un pienākumu veikšanai, tomēr no minētā neizriet, ka noteikumu projektā jāpārraksta norādītās regulas prasības, bet gan jānoteic kompetentā iestāde, ja tas jau nav izdarīts likumprojektā, un jāparedz tās pilnvaras, ko iespēju robežās nepieciešams veikt, izdarot atsauces uz konkrētajām minētās regulas vienībām, lai izvairītos no regulas prasību interpretēšanas.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papildināt noteikumu projekta anotācijas 5.4. sadaļas 1. tabulu, skaidrojot arī citu minētās regulas prasību ieviešanu noteikumu projektā, jo, kā izriet no iepriekš minētā, faktiski noteikumu projekta mērķis ir ieviest vairākas regulas vienības, ne vien 17. panta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2</w:t>
            </w:r>
            <w:r w:rsidR="00000000" w:rsidRPr="00000000" w:rsidDel="00000000">
              <w:rPr>
                <w:rtl w:val="0"/>
              </w:rPr>
              <w:t xml:space="preserve"> Lai saņemtu atzītā OIM deklarētāja statusu, persona iesniedz iesniegumu šo noteikumu 3.</w:t>
            </w:r>
            <w:r w:rsidR="00000000" w:rsidRPr="00000000" w:rsidDel="00000000">
              <w:rPr>
                <w:sz w:val="20"/>
                <w:vertAlign w:val="superscript"/>
                <w:rtl w:val="0"/>
              </w:rPr>
              <w:t xml:space="preserve">3</w:t>
            </w:r>
            <w:r w:rsidR="00000000" w:rsidRPr="00000000" w:rsidDel="00000000">
              <w:rPr>
                <w:rtl w:val="0"/>
              </w:rPr>
              <w:t xml:space="preserve"> punktā minētajā OIM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22. punktā piedāvāto Noteikumu Nr. 499 74.</w:t>
            </w:r>
            <w:r w:rsidR="00000000" w:rsidRPr="00000000" w:rsidDel="00000000">
              <w:rPr>
                <w:vertAlign w:val="superscript"/>
                <w:rtl w:val="0"/>
              </w:rPr>
              <w:t xml:space="preserve">2</w:t>
            </w:r>
            <w:r w:rsidR="00000000" w:rsidRPr="00000000" w:rsidDel="00000000">
              <w:rPr>
                <w:rtl w:val="0"/>
              </w:rPr>
              <w:t xml:space="preserve"> punktu, atbilstoši precizējot noteikumu projekta 22. punktā ietvertās iekšējās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7. punktā piedāvātais Noteikumu Nr. 499 3.</w:t>
            </w:r>
            <w:r w:rsidR="00000000" w:rsidRPr="00000000" w:rsidDel="00000000">
              <w:rPr>
                <w:vertAlign w:val="superscript"/>
                <w:rtl w:val="0"/>
              </w:rPr>
              <w:t xml:space="preserve">3</w:t>
            </w:r>
            <w:r w:rsidR="00000000" w:rsidRPr="00000000" w:rsidDel="00000000">
              <w:rPr>
                <w:rtl w:val="0"/>
              </w:rPr>
              <w:t xml:space="preserve"> punkts jau noteic, ka iesniegumu atzītā OIM deklarētāja statusa saņemšanai un ar to saistītos dokumentus persona iesniedz Komisijas 2025. gada 17. marta Īstenošanas Regulas (ES) 2025/486, ar ko paredz noteikumus par Eiropas Parlamenta un regulas 2023/956 piemērošanu attiecībā uz nosacījumiem un procedūrām, kas skar atzītā OIM deklarētāja statusu 1. panta 1. punktā noteiktajā elektroniskajā sistēmā – OIM reģistrā. Noteikumu Nr. 108 3.3. apakšpunkts noteic, ka normatīvā akta projektā neietver normas, kas dublē pašā normatīvā akta projektā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6</w:t>
            </w:r>
            <w:r w:rsidR="00000000" w:rsidRPr="00000000" w:rsidDel="00000000">
              <w:rPr>
                <w:rtl w:val="0"/>
              </w:rPr>
              <w:t xml:space="preserve">1. persona atbilst regulas Nr. 952/2013 39. panta a)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noteikumu projekta 23. punktu ar noteikumu projekta pielikumā minēto, jo attiecīgā regula paredz, ka: "nav tiesību aktu muitas jomā un nodokļu noteikumu nopietnu </w:t>
            </w:r>
            <w:r w:rsidR="00000000" w:rsidRPr="00000000" w:rsidDel="00000000">
              <w:rPr>
                <w:u w:val="single"/>
                <w:rtl w:val="0"/>
              </w:rPr>
              <w:t xml:space="preserve">vai atkārtotu</w:t>
            </w:r>
            <w:r w:rsidR="00000000" w:rsidRPr="00000000" w:rsidDel="00000000">
              <w:rPr>
                <w:rtl w:val="0"/>
              </w:rPr>
              <w:t xml:space="preserve"> pārkāpumu", savukārt pielikumā norādīts vienīgi uz nopietniem muitas vai nodokļu noteikumu pārkāpumiem.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6</w:t>
            </w:r>
            <w:r w:rsidR="00000000" w:rsidRPr="00000000" w:rsidDel="00000000">
              <w:rPr>
                <w:rtl w:val="0"/>
              </w:rPr>
              <w:t xml:space="preserve">1. persona atbilst regulas Nr. 952/2013 39. panta a)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952/2013 18. panta 3. punkts paredz, ka dalībvalstis </w:t>
            </w:r>
            <w:r w:rsidR="00000000" w:rsidRPr="00000000" w:rsidDel="00000000">
              <w:rPr>
                <w:u w:val="single"/>
                <w:rtl w:val="0"/>
              </w:rPr>
              <w:t xml:space="preserve">saskaņā ar Savienības tiesību aktiem</w:t>
            </w:r>
            <w:r w:rsidR="00000000" w:rsidRPr="00000000" w:rsidDel="00000000">
              <w:rPr>
                <w:rtl w:val="0"/>
              </w:rPr>
              <w:t xml:space="preserve"> var paredzēt nosacījumus, ar kādiem pārstāvis muitā var sniegt pakalpojumus dalībvalstī, kurā tas veic uzņēmējdarbību. Tomēr, neskarot to, ka </w:t>
            </w:r>
            <w:r w:rsidR="00000000" w:rsidRPr="00000000" w:rsidDel="00000000">
              <w:rPr>
                <w:u w:val="single"/>
                <w:rtl w:val="0"/>
              </w:rPr>
              <w:t xml:space="preserve">attiecīgā dalībvalsts var piemērot mazāk stingrus kritērijus, pārstāvis muitā, kurš atbilst 39. panta "a" līdz "d" apakšpunktā izklāstītajiem kritērijiem, ir tiesīgs šādus pakalpojumus sniegt dalībvalstī, kas nav dalībvalsts, kurā tas veic uzņēmējdarbību</w:t>
            </w:r>
            <w:r w:rsidR="00000000" w:rsidRPr="00000000" w:rsidDel="00000000">
              <w:rPr>
                <w:rtl w:val="0"/>
              </w:rPr>
              <w:t xml:space="preserve">. Saistībā ar minēto lūdzam papildināt noteikumu projekta anotāciju ar pamatojumu par konkrēto noteikumu projekta 23. punktā minēto kritēriju atbilstību Eiropas Savienības tiesību aktiem, kā arī skaidrojumu par to, vai minētie kritēriji ir mazāk stingri, nekā iepriekš norādītajā 39. panta "b" līdz "d" apakšpunktā izklāstītie kritēriji. Ja attiecīgu skaidrojumu nav iespējams sniegt, aicinām noteikumu projekta 23. punktā minētos kritērijus aizstāt ar atsauci uz izņēmumu, kas minēts regulas 18. panta 3. punkta otrajā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9</w:t>
            </w:r>
            <w:r w:rsidR="00000000" w:rsidRPr="00000000" w:rsidDel="00000000">
              <w:rPr>
                <w:rtl w:val="0"/>
              </w:rPr>
              <w:t xml:space="preserve"> Valsts ieņēmumu dienests pieņem lēmumu par personas iekļaušanu Reģistrā, ja ir izpildīti šo noteikumu 74.</w:t>
            </w:r>
            <w:r w:rsidR="00000000" w:rsidRPr="00000000" w:rsidDel="00000000">
              <w:rPr>
                <w:vertAlign w:val="superscript"/>
                <w:rtl w:val="0"/>
              </w:rPr>
              <w:t xml:space="preserve">6</w:t>
            </w:r>
            <w:r w:rsidR="00000000" w:rsidRPr="00000000" w:rsidDel="00000000">
              <w:rPr>
                <w:rtl w:val="0"/>
              </w:rPr>
              <w:t xml:space="preserve"> un 74.</w:t>
            </w:r>
            <w:r w:rsidR="00000000" w:rsidRPr="00000000" w:rsidDel="00000000">
              <w:rPr>
                <w:vertAlign w:val="superscript"/>
                <w:rtl w:val="0"/>
              </w:rPr>
              <w:t xml:space="preserve">7</w:t>
            </w:r>
            <w:r w:rsidR="00000000" w:rsidRPr="00000000" w:rsidDel="00000000">
              <w:rPr>
                <w:rtl w:val="0"/>
              </w:rPr>
              <w:t xml:space="preserve"> punkta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23. punktā piedāvāto Noteikumu Nr. 499 74.</w:t>
            </w:r>
            <w:r w:rsidR="00000000" w:rsidRPr="00000000" w:rsidDel="00000000">
              <w:rPr>
                <w:vertAlign w:val="superscript"/>
                <w:rtl w:val="0"/>
              </w:rPr>
              <w:t xml:space="preserve">9</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23. punktā piedāvātais Noteikumu Nr. 499 74.</w:t>
            </w:r>
            <w:r w:rsidR="00000000" w:rsidRPr="00000000" w:rsidDel="00000000">
              <w:rPr>
                <w:vertAlign w:val="superscript"/>
                <w:rtl w:val="0"/>
              </w:rPr>
              <w:t xml:space="preserve">6</w:t>
            </w:r>
            <w:r w:rsidR="00000000" w:rsidRPr="00000000" w:rsidDel="00000000">
              <w:rPr>
                <w:rtl w:val="0"/>
              </w:rPr>
              <w:t xml:space="preserve"> punkts jau noteic, ka Valsts ieņēmumu dienests reģistrē personu Pārstāvju muitā pakalpojumu sniedzēju reģistrā, ja uz personu ir attiecināmi šajā punktā noteiktie nosacījumi. Noteikumu Nr. 108 3.3. apakšpunkts noteic, ka normatīvā akta projektā neietver normas, kas dublē pašā normatīvā akta projektā ietverto normatīvo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Valsts ieņēmumu dienests lēmumus par atzītā OIM deklarētāja statusa piešķiršanu un atsaukšanu izdod (pieņem) un paziņo OIM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norādīt arī uz grozīšanu vai skaidrot, kādēļ tas nav nepieciešams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Valsts ieņēmumu dienests lēmumus par atzītā OIM deklarētāja statusa piešķiršanu un atsaukšanu izdod (pieņem) un paziņo OIM reģistrā.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normatīvajā aktā nelieto sinonīmus un vienu lietu konsekventi sauc vienā un tajā pašā vārdā, tādēļ lūdzam, piemēram, svītrot vārdu "pieņem". Līdzīgi lūdzam noteikumu projekta pielikumā svītrot norādi uz muitošanas speciālistiem, nepieciešamības gadījumā prasību, ka attiecīgajām personām jābūt muitošanas speciālistiem ietverot noteikumu projekta 23.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2</w:t>
            </w:r>
            <w:r w:rsidR="00000000" w:rsidRPr="00000000" w:rsidDel="00000000">
              <w:rPr>
                <w:rtl w:val="0"/>
              </w:rPr>
              <w:t xml:space="preserve">1. ja deklarē akcīzes preces muitas procedūrai – uzglabāšana muitas noliktavā –, uzskaitē iekļauj datu elementus 18 04 000 000 (bruto svars) un 18 09 060 000 (preču kods – nacionālais papildu kods), aizstājot tos ar attiecīgajiem 10 ciparu numerācijas kodiem atbilstoši regulas Nr.2015/2446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konkrētajā gadījumā, kā arī citos līdzīgos gadījumos norādīt atsauci uz konkrētu attiecīgās regulas vienību vai vienībām, kas paredz atbilstošas prasības,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6</w:t>
            </w:r>
            <w:r w:rsidR="00000000" w:rsidRPr="00000000" w:rsidDel="00000000">
              <w:rPr>
                <w:rtl w:val="0"/>
              </w:rPr>
              <w:t xml:space="preserve">2. personai nav nodokļu parāda, kas pārsniedz 150 euro (izņemot gadījumus, kad attiecīgo nodokļu maksājumu samaksas termiņi nodokļu reglamentējošos normatīvajos aktos noteiktajā kārtībā ir pagarināti, sadalīti termiņos, atlikti vai atkārtoti sadalīti termiņos vai attiecībā uz kuriem ir noslēgts vienošanās līgums) vai pieņemts lēmums par nokavēto nodokļa maksājumu labprātīgu izpildi un persona pilda minētās nodokļa parāda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pieturzīmi iekavas, jo tās nav nepieciešamas.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7</w:t>
            </w:r>
            <w:r w:rsidR="00000000" w:rsidRPr="00000000" w:rsidDel="00000000">
              <w:rPr>
                <w:rtl w:val="0"/>
              </w:rPr>
              <w:t xml:space="preserve"> Šo noteikumu 74.</w:t>
            </w:r>
            <w:r w:rsidR="00000000" w:rsidRPr="00000000" w:rsidDel="00000000">
              <w:rPr>
                <w:vertAlign w:val="superscript"/>
                <w:rtl w:val="0"/>
              </w:rPr>
              <w:t xml:space="preserve">6</w:t>
            </w:r>
            <w:r w:rsidR="00000000" w:rsidRPr="00000000" w:rsidDel="00000000">
              <w:rPr>
                <w:rtl w:val="0"/>
              </w:rPr>
              <w:t xml:space="preserve"> punktā minētie nosacījumi ir izpildīti, ja pārstāvja muitā pakalpojumu sniedzējs ir atzītā uzņēmēja, atzītā nosūtītāja, atzītā saņēmēja, vispārējā galvojuma atļaujas turētājs, vai ir tiesīgs sniegt pārstāvja muitā pakalpojumus saskaņā ar tiesību aktiem, kādi noteikti Eiropas Savienības dalībvalstī, kurā pārstāvja muitā pakalpojumu sniedzējs ir reģistrēts.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un papildināt ar vārdu "citā" pēc vārdiem "kādi noteikti".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9</w:t>
            </w:r>
            <w:r w:rsidR="00000000" w:rsidRPr="00000000" w:rsidDel="00000000">
              <w:rPr>
                <w:rtl w:val="0"/>
              </w:rPr>
              <w:t xml:space="preserve"> Valsts ieņēmumu dienests pieņem lēmumu par personas iekļaušanu Reģistrā, ja ir izpildīti šo noteikumu 74.</w:t>
            </w:r>
            <w:r w:rsidR="00000000" w:rsidRPr="00000000" w:rsidDel="00000000">
              <w:rPr>
                <w:vertAlign w:val="superscript"/>
                <w:rtl w:val="0"/>
              </w:rPr>
              <w:t xml:space="preserve">6</w:t>
            </w:r>
            <w:r w:rsidR="00000000" w:rsidRPr="00000000" w:rsidDel="00000000">
              <w:rPr>
                <w:rtl w:val="0"/>
              </w:rPr>
              <w:t xml:space="preserve"> un 74.</w:t>
            </w:r>
            <w:r w:rsidR="00000000" w:rsidRPr="00000000" w:rsidDel="00000000">
              <w:rPr>
                <w:vertAlign w:val="superscript"/>
                <w:rtl w:val="0"/>
              </w:rPr>
              <w:t xml:space="preserve">7</w:t>
            </w:r>
            <w:r w:rsidR="00000000" w:rsidRPr="00000000" w:rsidDel="00000000">
              <w:rPr>
                <w:rtl w:val="0"/>
              </w:rPr>
              <w:t xml:space="preserve"> punkta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"un" ar vārdu "vai". Norādām, ka saiklis "un" ir kumulatīvs nosacījums, kura lietošanas gadījumā ir jāiestājas visiem noteikumu projektā minētajiem priekšnosacījumiem. Savukārt saiklis "vai" ir alternatīvs nosacījums, kura lietošana nosaka tikai viena priekšnosacījuma iestāšanās nepieciešamību. Ņemot vērā šo atšķirību, konkrētajā gadījumā nav pamatoti prasīt abu konkrēto punktu izpildi vienlaikus, jo pēdējais no punktiem paredz prezumpciju.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12</w:t>
            </w:r>
            <w:r w:rsidR="00000000" w:rsidRPr="00000000" w:rsidDel="00000000">
              <w:rPr>
                <w:rtl w:val="0"/>
              </w:rPr>
              <w:t xml:space="preserve">1. EORI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pielikumā nodokļu maksātāja reģistrācijas kods un EORI numurs ir norādītas kā alternatīvas, kuras norādāmas iesniegumā, jo starp attiecīgo kodu un numuru lietota pieturzīme "/", savukārt publicējams ir gan šis kods, gan numurs.  Ievērojot minēto, ja iesniegumā nepieciešams norādīt gan minēto kodu, gan numuru, lūdzam atbilstoši tehniski precizēt noteikumu projekta pielikumu, aizstājot minēto pieturzīmi ar saikli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12</w:t>
            </w:r>
            <w:r w:rsidR="00000000" w:rsidRPr="00000000" w:rsidDel="00000000">
              <w:rPr>
                <w:rtl w:val="0"/>
              </w:rPr>
              <w:t xml:space="preserve">1. EORI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Noteikumos Nr. 499 atrunāt saīsinājumu attiecīgajam numuram pirmajā vietā šajos noteikumos, kur attiecīgais saīsinājums tiek lietots. Vienlaikus vēršam uzmanību, ka atbilstoši juridiskās tehnikas prasībām saīsinājumā abreviatūras neizmanto. Saīsinājumā pieļaujams izmantot vispārzināmas abreviatūras.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Valsts iestāžu juridisko dienestu vadītāju 2019. gada 14. novembra sanāksmē tika nolemts (protokols Nr. 3 2. §), ka ir izvērtējama iespēja noteikumu projektā noteikt tikai veidlapā iekļaujamās informācijas saturu un apjomu, savukārt veidlapas dizainu un formu kā ilustratīvu materiālu publicēt ministrijas tīmekļa vietnē vai vietnē, kur piedāvā e-pakalpojumu, ņemot par piemēru Komerclikumā ietverto regulējumu attiecībā uz Uzņēmumu reģistra veidlapām. Pretējā gadījumā nepieciešams anotācijā pamatot, kāpēc tieši šādas veidlapas un šādā formātā ir nepieciešams noteikt Ministru kabinetam. Tādēļ aicinām sniegt attiecīgu skaidrojumu anotācijā vai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25-TA-916</w:t>
    </w:r>
    <w:r>
      <w:br/>
    </w:r>
    <w:r w:rsidR="00000000" w:rsidRPr="00000000" w:rsidDel="00000000">
      <w:rPr>
        <w:rtl w:val="0"/>
      </w:rPr>
      <w:t xml:space="preserve">Izdrukāts 13.02.2026. 09.01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25-TA-916</w:t>
    </w:r>
    <w:r>
      <w:br/>
    </w:r>
    <w:r w:rsidR="00000000" w:rsidRPr="00000000" w:rsidDel="00000000">
      <w:rPr>
        <w:rtl w:val="0"/>
      </w:rPr>
      <w:t xml:space="preserve">Izdrukāts 13.02.2026. 09.01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Atzinumi_25-TA-916.docx</dc:title>
</cp:coreProperties>
</file>

<file path=docProps/custom.xml><?xml version="1.0" encoding="utf-8"?>
<Properties xmlns="http://schemas.openxmlformats.org/officeDocument/2006/custom-properties" xmlns:vt="http://schemas.openxmlformats.org/officeDocument/2006/docPropsVTypes"/>
</file>