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 šo noteikumu </w:t>
            </w:r>
            <w:r w:rsidR="00000000" w:rsidRPr="00000000" w:rsidDel="00000000">
              <w:rPr>
                <w:rtl w:val="0"/>
              </w:rPr>
              <w:t xml:space="preserve">36.1.1.</w:t>
            </w:r>
            <w:r w:rsidR="00000000" w:rsidRPr="00000000" w:rsidDel="00000000">
              <w:rPr>
                <w:rtl w:val="0"/>
              </w:rPr>
              <w:t xml:space="preserve">, </w:t>
            </w:r>
            <w:r w:rsidR="00000000" w:rsidRPr="00000000" w:rsidDel="00000000">
              <w:rPr>
                <w:rtl w:val="0"/>
              </w:rPr>
              <w:t xml:space="preserve">36.2.2.</w:t>
            </w:r>
            <w:r w:rsidR="00000000" w:rsidRPr="00000000" w:rsidDel="00000000">
              <w:rPr>
                <w:rtl w:val="0"/>
              </w:rPr>
              <w:t xml:space="preserve">, </w:t>
            </w:r>
            <w:r w:rsidR="00000000" w:rsidRPr="00000000" w:rsidDel="00000000">
              <w:rPr>
                <w:rtl w:val="0"/>
              </w:rPr>
              <w:t xml:space="preserve">36.5.</w:t>
            </w:r>
            <w:r w:rsidR="00000000" w:rsidRPr="00000000" w:rsidDel="00000000">
              <w:rPr>
                <w:rtl w:val="0"/>
              </w:rPr>
              <w:t xml:space="preserve">, </w:t>
            </w:r>
            <w:r w:rsidR="00000000" w:rsidRPr="00000000" w:rsidDel="00000000">
              <w:rPr>
                <w:rtl w:val="0"/>
              </w:rPr>
              <w:t xml:space="preserve">36.7.</w:t>
            </w:r>
            <w:r w:rsidR="00000000" w:rsidRPr="00000000" w:rsidDel="00000000">
              <w:rPr>
                <w:rtl w:val="0"/>
              </w:rPr>
              <w:t xml:space="preserve">, </w:t>
            </w:r>
            <w:r w:rsidR="00000000" w:rsidRPr="00000000" w:rsidDel="00000000">
              <w:rPr>
                <w:rtl w:val="0"/>
              </w:rPr>
              <w:t xml:space="preserve">36.8.</w:t>
            </w:r>
            <w:r w:rsidR="00000000" w:rsidRPr="00000000" w:rsidDel="00000000">
              <w:rPr>
                <w:rtl w:val="0"/>
              </w:rPr>
              <w:t xml:space="preserve"> un </w:t>
            </w:r>
            <w:r w:rsidR="00000000" w:rsidRPr="00000000" w:rsidDel="00000000">
              <w:rPr>
                <w:rtl w:val="0"/>
              </w:rPr>
              <w:t xml:space="preserve">36.9.2.</w:t>
            </w:r>
            <w:r w:rsidR="00000000" w:rsidRPr="00000000" w:rsidDel="00000000">
              <w:rPr>
                <w:rtl w:val="0"/>
              </w:rPr>
              <w:t xml:space="preserve"> apakšpunktā minētās izmaksas (piemēram, būvju nojaukšana, elektroenerģijas pieslēguma izbūve, teritorijas attīrīšana, autoruzraudzība, būvuzraudzība, arheoloģiskā uzraudzība, nodošana ekspluatācijā) un šo noteikumu </w:t>
            </w:r>
            <w:r w:rsidR="00000000" w:rsidRPr="00000000" w:rsidDel="00000000">
              <w:rPr>
                <w:rtl w:val="0"/>
              </w:rPr>
              <w:t xml:space="preserve">36.10.</w:t>
            </w:r>
            <w:r w:rsidR="00000000" w:rsidRPr="00000000" w:rsidDel="00000000">
              <w:rPr>
                <w:rtl w:val="0"/>
              </w:rPr>
              <w:t xml:space="preserve"> apakšpunktā minētās projekta iesniedzēja izmaksas, ir attiecināmas, ja tās veido projekta ietvaros radīto pamatlīdzekļu vērtību;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eWIKI Eiropas Komisijas 2023.04.13. sniegtajai atbildei Horvātijai, “projekta atpazīstamības veicināšanas izmaksas” neatbilst Komisijas regulas Nr. 651/2014 2. panta 29. un 30. punkta materiālo un nemateriālo izmaksu definīcijām. Attiecīgi šīs izmaksas nevar būt attiecināmas ar Komisijas regulas Nr. 651/2014 14. un 56. pantu, ar kuriem ir paredzēts komercdarbības atbalsts 5.1.1.1. pasākumā. Līdz ar to aicinām precizēt noteikumu projektu, lai novērstu minēto neprecizitāti un noteikumu projekta 52.2.apakšpunktā svītrot atsauci uz noteikumu projekta 36.8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publicēšanas prasības, ciktāl to mērķis ir atzīt ES finansējuma izcelsmi un nodrošināt tā redzamību, Eiropas Komisijas ieskatā, nav komercdarbības atbalsts, jo dalībvalstij ir pienākums bez jebkādas rīcības brīvības nodrošināt “informāciju, saziņu un publicitāti” saskaņā ar ES tiesību aktiem (atbilstoši Eiropas Parlamenta un Padomes regulas 2021/241, ar ko izveido Atveseļošanas un noturības mehānismu 34.pantam). Ar atbilstošu skaidrojumu lūdzam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arī noteikumu projekta 55.2.apakšpunktu.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Suzanna Kuļčuka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18.10.2023. 14.18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18.10.2023. 14.18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Atzinumi_23-TA-1091.docx</dc:title>
</cp:coreProperties>
</file>

<file path=docProps/custom.xml><?xml version="1.0" encoding="utf-8"?>
<Properties xmlns="http://schemas.openxmlformats.org/officeDocument/2006/custom-properties" xmlns:vt="http://schemas.openxmlformats.org/officeDocument/2006/docPropsVTypes"/>
</file>