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23-TA-1436: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46.</w:t>
            </w:r>
            <w:r w:rsidR="00000000" w:rsidRPr="00000000" w:rsidDel="00000000">
              <w:rPr>
                <w:vertAlign w:val="superscript"/>
                <w:rtl w:val="0"/>
              </w:rPr>
              <w:t xml:space="preserve">1</w:t>
            </w:r>
            <w:r w:rsidR="00000000" w:rsidRPr="00000000" w:rsidDel="00000000">
              <w:rPr>
                <w:rtl w:val="0"/>
              </w:rPr>
              <w:t xml:space="preserve"> punktu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kontroles ietvaros institūcija, kura pilda būvvaldes funkcijas, var pieņemt lēmumu par paziņojuma par būvniecību atcelšanu un iepriekšējā stāvokļa atjaunošanu, ja konkrētā objekta būvniecību attiecīgajā teritorijā nepieļauj normatīvie akti vai būvdarbi neatbilst paziņojumam par būvniecību, vai par paziņojuma par būvniecību atcelšanu daļā, ja nav izpildītas būvniecību regulējošo normatīvo aktu prasības, un lēmuma pieņemšana ir lietderīga".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63. panta pirmās daļas 2. punkts noteic: pēc nepieciešamo faktu konstatēšanas un administratīvā procesa dalībnieku uzklausīšanas iestāde nekavējoties izvērtē lietas apstākļus un izdod brīvo administratīvo aktu, ja iestādei ir rīcības brīvība un </w:t>
            </w:r>
            <w:r w:rsidR="00000000" w:rsidRPr="00000000" w:rsidDel="00000000">
              <w:rPr>
                <w:u w:val="single"/>
                <w:rtl w:val="0"/>
              </w:rPr>
              <w:t xml:space="preserve">administratīvā akta izdošana ir lietderīga</w:t>
            </w:r>
            <w:r w:rsidR="00000000" w:rsidRPr="00000000" w:rsidDel="00000000">
              <w:rPr>
                <w:rtl w:val="0"/>
              </w:rPr>
              <w:t xml:space="preserve">. Ievērojot minēto, kā arī to,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 lūdzam svītrot projekta 17. punktā piedāvātajā Ministru kabineta 2014. gada 2. septembra noteikumu Nr. 529 "Ēku būvnoteikumi" (turpmāk - Noteikumi Nr. 529) 46.</w:t>
            </w:r>
            <w:r w:rsidR="00000000" w:rsidRPr="00000000" w:rsidDel="00000000">
              <w:rPr>
                <w:vertAlign w:val="superscript"/>
                <w:rtl w:val="0"/>
              </w:rPr>
              <w:t xml:space="preserve">1</w:t>
            </w:r>
            <w:r w:rsidR="00000000" w:rsidRPr="00000000" w:rsidDel="00000000">
              <w:rPr>
                <w:rtl w:val="0"/>
              </w:rPr>
              <w:t xml:space="preserve"> punkta trešajā teikumā vārdus "un lēmuma pieņemšana ir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22. punkts noteic, ka grozījums Noteikumu Nr. 529 7.</w:t>
            </w:r>
            <w:r w:rsidR="00000000" w:rsidRPr="00000000" w:rsidDel="00000000">
              <w:rPr>
                <w:vertAlign w:val="superscript"/>
                <w:rtl w:val="0"/>
              </w:rPr>
              <w:t xml:space="preserve">1 </w:t>
            </w:r>
            <w:r w:rsidR="00000000" w:rsidRPr="00000000" w:rsidDel="00000000">
              <w:rPr>
                <w:rtl w:val="0"/>
              </w:rPr>
              <w:t xml:space="preserve">3. apakšpunktā attiecībā uz paziņojuma par būvniecību izmantošanu, ja paredzēta otrās grupas lauksaimniecības nedzīvojamās ēkas nojaukšana, piemērojams ar 2024. gada 1. jūliju, lūdzam precizēt projekta anotācijas 1.2. sadaļā norādīto 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23-TA-1436</w:t>
    </w:r>
    <w:r>
      <w:br/>
    </w:r>
    <w:r w:rsidR="00000000" w:rsidRPr="00000000" w:rsidDel="00000000">
      <w:rPr>
        <w:rtl w:val="0"/>
      </w:rPr>
      <w:t xml:space="preserve">Izdrukāts 03.11.2023.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23-TA-1436</w:t>
    </w:r>
    <w:r>
      <w:br/>
    </w:r>
    <w:r w:rsidR="00000000" w:rsidRPr="00000000" w:rsidDel="00000000">
      <w:rPr>
        <w:rtl w:val="0"/>
      </w:rPr>
      <w:t xml:space="preserve">Izdrukāts 03.11.2023.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Atzinumi_23-TA-1436.docx</dc:title>
</cp:coreProperties>
</file>

<file path=docProps/custom.xml><?xml version="1.0" encoding="utf-8"?>
<Properties xmlns="http://schemas.openxmlformats.org/officeDocument/2006/custom-properties" xmlns:vt="http://schemas.openxmlformats.org/officeDocument/2006/docPropsVTypes"/>
</file>