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noteikumu projektu ar jaunu punktu, kas noteiktu, ka pasākuma ietvaros tiks uzkrāti dati Viedās specializācijas stratēģijas (RIS3) monitoringa vajadzībām, vienlaicīgi iekļaujot atbilstošu informāciju arī anotācijā. Tāpat aicinām  izvērtēt nepieciešamību papildināt noteikumu projektu ar RIS3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līdz 2029. gada 31. decembrim atbalstīti uzņēmumi: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8.2.apakšpunkta ievadteikumā svītrot vārdus "atbalstīti uzņēmumi".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iesniedzējs projekta iesniegumam pievieno projekta īstenošanas stratēģiju. Stratēģijā ietver informāciju par projekta īstenošanas plānu, mērķiem, sasniedzamajiem rezultātiem, projekta vadības un īstenošanas personālu, to darba uzdevumiem un funkcijām, lai nodrošinātu pasākuma mērķu sasniegšanu, kritērijus vai metodes, tai skaitā, pēc kā tiks atlasītas biznesa inkubatoru (Finansējuma saņēmēja pārstāvniecību) atrašanās vietas, kārtība, kādā tiek noteikts un nepieciešamības gadījumā var tikt pārskatīts biznesa inkubatoru/ ārvalstu pārstāvniecību skaits, t.sk. izvērtēti to darbības rezultāti, balstoties uz ko, var tikt pieņemts lēmums par to darbības pārtraukšanu un jaunu atvēršanu.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projekta iesniedzējs ar projekta iesniegumu iesniedz arī projekta iesniedzēja izstrādātu procedūru, kā tas nodrošinās de minimis atbalsta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dalība starptautiskajās izstādēs ārvalstīs un Latvijā ar stendu vai kopstendu, konferencēs ārvalstīs ar stendu vai ar prezentāciju, kontaktbiržās ārvalstīs klātienē vai tiešsaistē: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16.5.apakšpunktā noteikto ierobežojumu, ka dalība izstādēs Latvijā ir atbalstām tikai biznesa inkubatoru klientiem, aicinām papildināt arī 43.1.apakšpunktu ar atsauci uz 4.2.apakšpunktu, lai novērstu interpretācijas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Finansējuma saņēmējs pasākuma īstenošanā piemērojamās vadošās iestādes un atbildīgās iestādes sagatavotās 2021.-2027.gada plānošanas perioda vienkāršoto izmaksu metodikas, kuras attiecināmas programmas ietvaros, piemēro viena mēneša laikā no šo noteikumu spēkā 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termiņu, kurā vienkāršoto izmaksu metodikas paredzēts apstiprināt, un noteikt, ka gadījumā, ja vienkāršoto izmaksu metodikas nav izstrādātas un saskaņotas ar vadošo iestādi, līdz atlases izsludināšanai, projekta iesniegumā izmaksas plāno atbilstoši faktiskajām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Finansējuma saņēmējs pirms de minimis atbalsta piešķiršanas pārbauda, vai gala labuma guvējam saskaņā ar Valsts ieņēmumu dienesta administrēto nodokļu (nodevu) parādnieku datubāzē pieejamo informāciju nav nodokļu vai nodevu parādu, tai skaitā valsts sociālās apdrošināšanas obligāto iemaksu parādu, kas kopsummā pārsniedz 150 euro. Ja komersants neatbilst minētajam nosacījumam, finansējuma saņēmējs atbalstu nepiešķir.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18.panta pirmās daļas 8.punktu Valsts ieņēmumu dienests (turpmāk - VID) kā nodokļu administrācijas pienākums ir  nodrošināt nodokļu (nodevu) iekasēšanas publiskumu,</w:t>
            </w:r>
            <w:r w:rsidR="00000000" w:rsidRPr="00000000" w:rsidDel="00000000">
              <w:rPr>
                <w:b w:val="1"/>
                <w:rtl w:val="0"/>
              </w:rPr>
              <w:t xml:space="preserve"> regulāri publicējot informāciju</w:t>
            </w:r>
            <w:r w:rsidR="00000000" w:rsidRPr="00000000" w:rsidDel="00000000">
              <w:rPr>
                <w:rtl w:val="0"/>
              </w:rPr>
              <w:t xml:space="preserve"> par atsevišķu nodokļu (nodevu) kopieņēmumiem, un informācijas pieejamību p</w:t>
            </w:r>
            <w:r w:rsidR="00000000" w:rsidRPr="00000000" w:rsidDel="00000000">
              <w:rPr>
                <w:b w:val="1"/>
                <w:rtl w:val="0"/>
              </w:rPr>
              <w:t xml:space="preserve">ar tiem nodokļu maksātājiem, kuriem Valsts ieņēmumu dienesta administrēto nodokļu (nodevu) parāda kopsumma pārsniedz 150 </w:t>
            </w:r>
            <w:r w:rsidR="00000000" w:rsidRPr="00000000" w:rsidDel="00000000">
              <w:rPr>
                <w:b w:val="1"/>
                <w:i w:val="1"/>
                <w:rtl w:val="0"/>
              </w:rPr>
              <w:t xml:space="preserve">euro</w:t>
            </w:r>
            <w:r w:rsidR="00000000" w:rsidRPr="00000000" w:rsidDel="00000000">
              <w:rPr>
                <w:b w:val="1"/>
                <w:rtl w:val="0"/>
              </w:rPr>
              <w:t xml:space="preserve">, izņemot nodokļu maksājumus, kuru maksāšanas termiņš saskaņā ar šā likuma 24.panta pirmo, 1.</w:t>
            </w:r>
            <w:r w:rsidR="00000000" w:rsidRPr="00000000" w:rsidDel="00000000">
              <w:rPr>
                <w:b w:val="1"/>
                <w:vertAlign w:val="superscript"/>
                <w:rtl w:val="0"/>
              </w:rPr>
              <w:t xml:space="preserve">3</w:t>
            </w:r>
            <w:r w:rsidR="00000000" w:rsidRPr="00000000" w:rsidDel="00000000">
              <w:rPr>
                <w:b w:val="1"/>
                <w:rtl w:val="0"/>
              </w:rPr>
              <w:t xml:space="preserve"> un 1.</w:t>
            </w:r>
            <w:r w:rsidR="00000000" w:rsidRPr="00000000" w:rsidDel="00000000">
              <w:rPr>
                <w:b w:val="1"/>
                <w:vertAlign w:val="superscript"/>
                <w:rtl w:val="0"/>
              </w:rPr>
              <w:t xml:space="preserve">7</w:t>
            </w:r>
            <w:r w:rsidR="00000000" w:rsidRPr="00000000" w:rsidDel="00000000">
              <w:rPr>
                <w:b w:val="1"/>
                <w:rtl w:val="0"/>
              </w:rPr>
              <w:t xml:space="preserve"> daļu ir pagarināts, sadalīts termiņos, atlikts vai atkārtoti sadalīts termiņos</w:t>
            </w:r>
            <w:r w:rsidR="00000000" w:rsidRPr="00000000" w:rsidDel="00000000">
              <w:rPr>
                <w:rtl w:val="0"/>
              </w:rPr>
              <w:t xml:space="preserve">. Informāciju par minētajiem parādniekiem iekļauj Valsts ieņēmumu dienesta administrēto nodokļu (nodevu) parādnieku datubāzē un tās pieejamību nodrošina, ievērojot šā likuma 22.panta pirmās daļas 1.punktā un trešajā daļā minētos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VID nodrošina publiski pieejamu informāciju  Valsts ieņēmumu dienesta administrēto nodokļu (nodevu) parādnieku datubāzē par nodokļu vai nodevu parādu,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 </w:t>
            </w:r>
            <w:r w:rsidR="00000000" w:rsidRPr="00000000" w:rsidDel="00000000">
              <w:rPr>
                <w:b w:val="1"/>
                <w:rtl w:val="0"/>
              </w:rPr>
              <w:t xml:space="preserve">izņemot nodokļu maksājumus, kuru maksāšanas termiņš saskaņā ar šā likuma 24.panta pirmo, 1.</w:t>
            </w:r>
            <w:r w:rsidR="00000000" w:rsidRPr="00000000" w:rsidDel="00000000">
              <w:rPr>
                <w:b w:val="1"/>
                <w:vertAlign w:val="superscript"/>
                <w:rtl w:val="0"/>
              </w:rPr>
              <w:t xml:space="preserve">3</w:t>
            </w:r>
            <w:r w:rsidR="00000000" w:rsidRPr="00000000" w:rsidDel="00000000">
              <w:rPr>
                <w:b w:val="1"/>
                <w:rtl w:val="0"/>
              </w:rPr>
              <w:t xml:space="preserve"> un 1.</w:t>
            </w:r>
            <w:r w:rsidR="00000000" w:rsidRPr="00000000" w:rsidDel="00000000">
              <w:rPr>
                <w:b w:val="1"/>
                <w:vertAlign w:val="superscript"/>
                <w:rtl w:val="0"/>
              </w:rPr>
              <w:t xml:space="preserve">7</w:t>
            </w:r>
            <w:r w:rsidR="00000000" w:rsidRPr="00000000" w:rsidDel="00000000">
              <w:rPr>
                <w:b w:val="1"/>
                <w:rtl w:val="0"/>
              </w:rPr>
              <w:t xml:space="preserve"> daļu ir pagarināts, sadalīts termiņos, atlikts vai atkārtoti sadalīts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1.3.sadaļas 10.pnktā ir norādīts, ka minēto informāciju izgūst no VID, tomēr nav sniegta atsauce kā šī informācija tiek iegūta no VID.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informācija tiek iegūta no  Valsts ieņēmumu dienesta administrēto nodokļu (nodevu) parādnieku datubāzes publiski pieejamās informācijas, tad lūdzam saskaņotprojekta 60.punktā ietvertās redakcijas atbilstoši likumā "Par nodokļiem un nodevām" 18.panta pirmās daļas 8.punktā noteiktajam un attiecīgi papildināt projekta anotācijas 1.3.sadaļas 10.punktā minēto, ka informācija tiek iegūta no publiski pieejamās informācijas VID administrēto nodokļu (nodevu) parādnieku datubāzes.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pirms de minimis atbalsta piešķiršanas pārbauda, vai gala labuma guvējam saskaņā ar Valsts ieņēmumu dienesta administrēto nodokļu (nodevu) parādnieku datubāzē pieejamo informāciju nav nodokļu vai nodevu parādu, tai skaitā valsts sociālās apdrošināšanas obligāto iemaksu parādu, kas kopsummā pārsniedz 150 euro,izņemot nodokļu maksājumus, kuru maksāšanas termiņš saskaņā ar likuma "Par nodokļiem un nodevām"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Ja komersants neatbilst minētajam nosacījumam, finansējuma saņēmējs atbalstu nepiešķir.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Danute Deičmane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 ir informēts par Regulas Nr. 2018/1046, Eiropas Parlamenta un padomes 2014. gada 26. februāra direktības Nr. 2014/24/ES 2014/24/ES par publisko iepirkumu un ar ko atceļ Direktīvu 2004/18/EK, likuma “Par interešu konflikta novēršanu valsts amatpersonu darbībā” un Eiropas Komisijas 2021. gada 9.aprīļa paziņojuma Nr. C/2021/2119 Norādījumu par izvairīšanos no interešu konfliktiem un to pārvadlību saskaņā ar Finanšu regulu un apņemas tās ievērot;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kādēļ precizētā noteikumu projekta 67.1.apakšpunktā ir paredzēts, ka finansējuma saņēmējs apliecina cita starpā, ka ir informēts un ievēros Eiropas Parlamenta un Padomes 2014.gada 26 februāra direktīvu Nr. 2014/24/ES par publisko iepirkumu un ar ko atceļ Direktīvu 2004/18/EK. Paskaidrojam, ka minētās direktīvas prasības ir pārņemtas Publisko iepirkumu likumā, tāpat noteikumu projekta 54.punkts jau par, ka iepirkumi projektu ietvaros ir veicami saskaņā ar publisko iepirkumu regulējumu, kas kopumā ir pats par sevi saprotami un izriet no Latvijā spēkā esošajiem normatīvajiem aktiem. Attiecīgi 67.1.apakšpunktā ietvertā atsauce uz minēto direktīvu būtu svītrojama.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arī izvērtēt precizētā noteikumu projekta 67.1.apakšpunkta nepieciešamību, mērķi un piemērošanu pēc būtības, jo faktiski jau noteikumu projekta 54.punkts paredz projektu ietvaros ievērot publisko iepirkumu regulējumu, savukārt noteikumu projekta 64.punkts paredz finansējuma saņēmējam projekta īstenošanas laikā nodrošināt interešu konflikta nepieļaujamību saskaņā ar Komisijas regulas Nr.2018/1046 61.panta prasībām, tāpat arī jebkurā gadījumā uz projekta īstenotājiem ir attiecināmas citos Latvijā spēkā esošos normatīvajos aktos noteiktās prasības. Ja 67.1. apakšpunkts noteikumos tiek saglabāts, tad būtu nepieciešams anotācijā ietvert skaidrojumu par tā piemērošanu kontekstā ar minēto noteikumu projektā jau paredzēto regulējumu, kā arī tehniski precizēt normu, paredzot korektas atsauces uz normatīvajiem aktiem un EK paziņojumu.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 tam ir izveidota iekšējās kontroles sistēma korupcijas un interešu konflikta riska novēršanai publiskas personas institūcijā atbilstoši Ministru kabineta 2017. gada 17. oktobra noteikumu Nr. 630 "Noteikumi par iekšējās kontroles sistēmas pamatprasībām korupcijas un interešu konflikta riska novēršanai publiskas personas institūcijā" prasībām, kura sevī ietver: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apakšpunktu, ņemot vērā </w:t>
            </w:r>
            <w:r w:rsidR="00000000" w:rsidRPr="00000000" w:rsidDel="00000000">
              <w:rPr>
                <w:i w:val="1"/>
                <w:rtl w:val="0"/>
              </w:rPr>
              <w:t xml:space="preserve">"Vadlīniju Ministru kabineta noteikumu par specifiskā atbalsta mērķa īstenošanu izstrādei Eiropas Savienības fondu 2021.—2027. gada plānošanas periodā"</w:t>
            </w:r>
            <w:r w:rsidR="00000000" w:rsidRPr="00000000" w:rsidDel="00000000">
              <w:rPr>
                <w:rtl w:val="0"/>
              </w:rPr>
              <w:t xml:space="preserve"> 29. punktu, norādot arī par interešu konflikta, krāpšanas, korupcijas riska un dubultā finansējuma novēršanas mehānismu gala labuma guvēju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LIAA pārstāvniecību Latvijā vadītājs nav iekļauts likmes apmēra pamatojumā. Papildus vēršam uzmanību, ka šāda amata atlīdzības izmaksu segšana no vienotās likmes pirmšķietami ir pretrunā ar anotācijā iepriekš minēto, ka LIAA pārstāvniecības funkcijas un izmaksas nepārklājas ar projekta vadības un īstenošanas personāla izmaksām, līdz ar to minēto amatu aicinām dzēst.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iesūtītajiem aprēķiniem un anotācijā iekļauto aprakstu par vienoto likmi personāla atlīdzības izmaksām, norādām, ka VI ieskatā nav izmantoti projektu vēsturiskie dati, bet gan spēkā esošais normatīvais regulējums par atlīdzību, līdz ar to aicinām izvērtēt un precizēt anotāciju, dzēšot informāciju par vēsturisko datu piemērošanu likmes pamatošanai.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informāciju "Ekonomikas ministrija neparedz izstrādāt vienkāršoto izmaksu metodiku nefinanšu atbalstam, šo pieeju saskaņojot ar Eiropas Komisiju", vēršam uzmanību, ka EK šo pieeju vēl nav saskaņojusi, līdz ar to lūdzam papildināt anotāciju ar informāciju, ka tiks izstrādātas vienkāršoto izmaksu metodikas, ja šāda pieeja netiks saskaņota ar 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1.3.sadaļā sniegto informāciju par finansējuma saņēmēja iekšējām kārtībām, norādot, ka tās var tikt precizētas tikai pirms konkrētas atlases vai atlases kārtas uzsākšanas, lai nodrošinātu, ka projekta iesniedzējs savlaicīgi ir informēts par atlases nosacījumiem un atlases kritēriji visas atlases ietvaros ir izsekojami un caurspīdīgi, nodrošinot atlases dalībniekiem taisnīgu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iespēju un atbilstoši preciēt arī noteikumu projekta 53.punktu.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ka MK noteikumos atsauce uz tūrismu tiek dzēsta, lūdzam pārskatīt un dzēst anotācijā minētās atsauces uz tūrismu.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Vasipa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1.3.sadaļas 10.punktā ir norādīts, ka gala labuma guvējam saskaņā ar Valsts ieņēmumu dienesta administrēto nodokļu (nodevu) parādnieku datubāzē pieejamo informāciju nav nodokļu vai nodevu parādu, tai skaitā valsts sociālās apdrošināšanas obligāto iemaksu parādu, kas kopsummā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1.3.sadaļas 10.punktu minēto, ievērojot likuma"Par nodokļiem un nodevām" 18.panta pirmās daļas 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guvējam saskaņā ar publiski pieejamo informāciju Valsts ieņēmumu dienesta administrēto nodokļu (nodevu) parādnieku datubāzē  nav nodokļu vai nodevu parādu, tai skaitā valsts sociālās apdrošināšanas obligāto iemaksu parādu, kas kopsummā pārsniedz 150 euro, izņemot nodokļu maksājumus, kuru maksāšanas termiņš saskaņā ar likuma "Par nodokļiem un nodevām"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 </w:t>
            </w:r>
            <w:r w:rsidR="00000000" w:rsidRPr="00000000" w:rsidDel="00000000">
              <w:rPr>
                <w:rtl w:val="0"/>
              </w:rPr>
              <w:t xml:space="preserve">daļu ir pagarināts, sadalīts termiņos, atlikts vai atkārtoti sadalīts termiņos.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Danute Deičmane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7.punktā svītrot norādītos piemērus atlīdzības aprēķinam, kas nav saistīti ar amata vietu skaita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22.06.2023. 13.33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22.06.2023. 13.33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