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6266D" w:rsidRDefault="00B6266D">
      <w:bookmarkStart w:id="0" w:name="_GoBack"/>
      <w:bookmarkEnd w:id="0"/>
      <w:r w:rsidRPr="00B6266D">
        <w:t>2021.  gada .28.07</w:t>
      </w:r>
    </w:p>
    <w:p w:rsidR="009F3A8E" w:rsidRDefault="006B27B8">
      <w:r w:rsidRPr="006B27B8">
        <w:t xml:space="preserve">Anita </w:t>
      </w:r>
      <w:proofErr w:type="spellStart"/>
      <w:r w:rsidRPr="006B27B8">
        <w:t>Cehanoviča</w:t>
      </w:r>
      <w:proofErr w:type="spellEnd"/>
      <w:r w:rsidRPr="006B27B8">
        <w:t xml:space="preserve"> </w:t>
      </w:r>
      <w:hyperlink r:id="rId6" w:history="1">
        <w:r w:rsidRPr="00687999">
          <w:rPr>
            <w:rStyle w:val="Hyperlink"/>
          </w:rPr>
          <w:t>Anita.Cehanovica@tm.gov.lv</w:t>
        </w:r>
      </w:hyperlink>
    </w:p>
    <w:p w:rsidR="006B27B8" w:rsidRDefault="006B27B8">
      <w:r w:rsidRPr="006B27B8">
        <w:t xml:space="preserve">Aivis Hammers </w:t>
      </w:r>
      <w:hyperlink r:id="rId7" w:history="1">
        <w:r w:rsidRPr="00687999">
          <w:rPr>
            <w:rStyle w:val="Hyperlink"/>
          </w:rPr>
          <w:t>aivis.hammers@fm.gov.lv</w:t>
        </w:r>
      </w:hyperlink>
      <w:r>
        <w:t xml:space="preserve"> </w:t>
      </w:r>
      <w:r w:rsidRPr="006B27B8">
        <w:t xml:space="preserve">Pasts </w:t>
      </w:r>
      <w:hyperlink r:id="rId8" w:history="1">
        <w:r w:rsidRPr="00687999">
          <w:rPr>
            <w:rStyle w:val="Hyperlink"/>
          </w:rPr>
          <w:t>Pasts@fm.gov.lv</w:t>
        </w:r>
      </w:hyperlink>
      <w:r>
        <w:t xml:space="preserve"> </w:t>
      </w:r>
      <w:r w:rsidRPr="006B27B8">
        <w:t xml:space="preserve">TM KANCELEJA </w:t>
      </w:r>
      <w:hyperlink r:id="rId9" w:history="1">
        <w:r w:rsidRPr="00687999">
          <w:rPr>
            <w:rStyle w:val="Hyperlink"/>
          </w:rPr>
          <w:t>pasts@tm.gov.lv</w:t>
        </w:r>
      </w:hyperlink>
      <w:r>
        <w:t xml:space="preserve"> </w:t>
      </w:r>
      <w:r w:rsidRPr="006B27B8">
        <w:t xml:space="preserve">Juta </w:t>
      </w:r>
      <w:proofErr w:type="spellStart"/>
      <w:r w:rsidRPr="006B27B8">
        <w:t>Ķupe</w:t>
      </w:r>
      <w:proofErr w:type="spellEnd"/>
      <w:r w:rsidRPr="006B27B8">
        <w:t xml:space="preserve"> </w:t>
      </w:r>
      <w:hyperlink r:id="rId10" w:history="1">
        <w:r w:rsidRPr="00687999">
          <w:rPr>
            <w:rStyle w:val="Hyperlink"/>
          </w:rPr>
          <w:t>Juta.Kupe@tm.gov.lv</w:t>
        </w:r>
      </w:hyperlink>
      <w:r>
        <w:t xml:space="preserve"> </w:t>
      </w:r>
      <w:r w:rsidRPr="006B27B8">
        <w:t xml:space="preserve">Sandis Vilcāns </w:t>
      </w:r>
      <w:hyperlink r:id="rId11" w:history="1">
        <w:r w:rsidRPr="00687999">
          <w:rPr>
            <w:rStyle w:val="Hyperlink"/>
          </w:rPr>
          <w:t>Sandis.Vilcans@tm.gov.lv</w:t>
        </w:r>
      </w:hyperlink>
      <w:r>
        <w:t xml:space="preserve"> </w:t>
      </w:r>
      <w:r w:rsidRPr="006B27B8">
        <w:t xml:space="preserve">Andra Reinfelde </w:t>
      </w:r>
      <w:hyperlink r:id="rId12" w:history="1">
        <w:r w:rsidRPr="00687999">
          <w:rPr>
            <w:rStyle w:val="Hyperlink"/>
          </w:rPr>
          <w:t>Andra.Reinfelde@TM.GOV.LV</w:t>
        </w:r>
      </w:hyperlink>
      <w:r>
        <w:t xml:space="preserve"> </w:t>
      </w:r>
      <w:hyperlink r:id="rId13" w:history="1">
        <w:r w:rsidRPr="00687999">
          <w:rPr>
            <w:rStyle w:val="Hyperlink"/>
          </w:rPr>
          <w:t>Gita.Daukste@tm.gov.lv</w:t>
        </w:r>
      </w:hyperlink>
      <w:r>
        <w:t xml:space="preserve"> </w:t>
      </w:r>
      <w:hyperlink r:id="rId14" w:history="1">
        <w:r w:rsidRPr="00687999">
          <w:rPr>
            <w:rStyle w:val="Hyperlink"/>
          </w:rPr>
          <w:t>Baiba.Lielkalne@TM.GOV.LV</w:t>
        </w:r>
      </w:hyperlink>
      <w:r>
        <w:t xml:space="preserve"> </w:t>
      </w:r>
      <w:hyperlink r:id="rId15" w:history="1">
        <w:r w:rsidRPr="00687999">
          <w:rPr>
            <w:rStyle w:val="Hyperlink"/>
          </w:rPr>
          <w:t>egita.skibele@fm.gov.lv</w:t>
        </w:r>
      </w:hyperlink>
      <w:r>
        <w:t xml:space="preserve"> </w:t>
      </w:r>
    </w:p>
    <w:p w:rsidR="006B27B8" w:rsidRDefault="006B27B8">
      <w:r w:rsidRPr="006B27B8">
        <w:t>atkārtotā saskaņošana</w:t>
      </w:r>
    </w:p>
    <w:p w:rsidR="006B27B8" w:rsidRDefault="006B27B8" w:rsidP="006B27B8">
      <w:pPr>
        <w:pStyle w:val="NormalWeb"/>
        <w:rPr>
          <w:rFonts w:ascii="Calibri" w:hAnsi="Calibri" w:cs="Calibri"/>
          <w:color w:val="000000"/>
          <w:sz w:val="22"/>
          <w:szCs w:val="22"/>
        </w:rPr>
      </w:pPr>
      <w:r>
        <w:rPr>
          <w:rFonts w:ascii="Arial" w:hAnsi="Arial" w:cs="Arial"/>
          <w:color w:val="000000"/>
          <w:sz w:val="20"/>
          <w:szCs w:val="20"/>
        </w:rPr>
        <w:t xml:space="preserve">Labdien, </w:t>
      </w:r>
    </w:p>
    <w:p w:rsidR="006B27B8" w:rsidRDefault="006B27B8" w:rsidP="006B27B8">
      <w:pPr>
        <w:pStyle w:val="NormalWeb"/>
        <w:rPr>
          <w:rFonts w:ascii="Calibri" w:hAnsi="Calibri" w:cs="Calibri"/>
          <w:color w:val="000000"/>
          <w:sz w:val="22"/>
          <w:szCs w:val="22"/>
        </w:rPr>
      </w:pPr>
      <w:r>
        <w:rPr>
          <w:rFonts w:ascii="Arial" w:hAnsi="Arial" w:cs="Arial"/>
          <w:color w:val="000000"/>
          <w:sz w:val="20"/>
          <w:szCs w:val="20"/>
        </w:rPr>
        <w:t> </w:t>
      </w:r>
    </w:p>
    <w:p w:rsidR="006B27B8" w:rsidRDefault="006B27B8" w:rsidP="006B27B8">
      <w:pPr>
        <w:pStyle w:val="NormalWeb"/>
        <w:rPr>
          <w:rFonts w:ascii="Calibri" w:hAnsi="Calibri" w:cs="Calibri"/>
          <w:color w:val="000000"/>
          <w:sz w:val="22"/>
          <w:szCs w:val="22"/>
        </w:rPr>
      </w:pPr>
      <w:r>
        <w:rPr>
          <w:rFonts w:ascii="Arial" w:hAnsi="Arial" w:cs="Arial"/>
          <w:color w:val="000000"/>
          <w:sz w:val="20"/>
          <w:szCs w:val="20"/>
        </w:rPr>
        <w:t>Nosūtu Tieslietu ministrijas viedokli par "Ieguldījumu brokeru sabiedrību likuma" likumprojektu paketē ietilpstošajiem likumprojektiem.</w:t>
      </w:r>
    </w:p>
    <w:p w:rsidR="006B27B8" w:rsidRDefault="006B27B8" w:rsidP="006B27B8">
      <w:pPr>
        <w:pStyle w:val="NormalWeb"/>
        <w:rPr>
          <w:rFonts w:ascii="Calibri" w:hAnsi="Calibri" w:cs="Calibri"/>
          <w:color w:val="000000"/>
          <w:sz w:val="22"/>
          <w:szCs w:val="22"/>
        </w:rPr>
      </w:pPr>
      <w:r>
        <w:rPr>
          <w:rFonts w:ascii="Arial" w:hAnsi="Arial" w:cs="Arial"/>
          <w:color w:val="000000"/>
          <w:sz w:val="20"/>
          <w:szCs w:val="20"/>
        </w:rPr>
        <w:t> </w:t>
      </w:r>
    </w:p>
    <w:p w:rsidR="006B27B8" w:rsidRDefault="006B27B8" w:rsidP="006B27B8">
      <w:pPr>
        <w:pStyle w:val="NormalWeb"/>
        <w:ind w:left="360" w:hanging="360"/>
        <w:rPr>
          <w:rFonts w:ascii="Calibri" w:hAnsi="Calibri" w:cs="Calibri"/>
          <w:color w:val="000000"/>
          <w:sz w:val="22"/>
          <w:szCs w:val="22"/>
        </w:rPr>
      </w:pPr>
      <w:r>
        <w:rPr>
          <w:rFonts w:ascii="Arial" w:hAnsi="Arial" w:cs="Arial"/>
          <w:b/>
          <w:bCs/>
          <w:color w:val="000000"/>
          <w:sz w:val="20"/>
          <w:szCs w:val="20"/>
        </w:rPr>
        <w:t>1.</w:t>
      </w:r>
      <w:r>
        <w:rPr>
          <w:b/>
          <w:bCs/>
          <w:color w:val="000000"/>
          <w:sz w:val="14"/>
          <w:szCs w:val="14"/>
        </w:rPr>
        <w:t xml:space="preserve">     </w:t>
      </w:r>
      <w:r>
        <w:rPr>
          <w:rFonts w:ascii="Arial" w:hAnsi="Arial" w:cs="Arial"/>
          <w:b/>
          <w:bCs/>
          <w:color w:val="000000"/>
          <w:sz w:val="20"/>
          <w:szCs w:val="20"/>
        </w:rPr>
        <w:t>Likumprojekts “Ieguldījumu brokeru sabiedrību likums” (VSS-153)</w:t>
      </w:r>
    </w:p>
    <w:p w:rsidR="006B27B8" w:rsidRDefault="006B27B8" w:rsidP="006B27B8">
      <w:pPr>
        <w:pStyle w:val="NormalWeb"/>
        <w:rPr>
          <w:rFonts w:ascii="Calibri" w:hAnsi="Calibri" w:cs="Calibri"/>
          <w:color w:val="000000"/>
          <w:sz w:val="22"/>
          <w:szCs w:val="22"/>
        </w:rPr>
      </w:pPr>
      <w:r>
        <w:rPr>
          <w:rFonts w:ascii="Arial" w:hAnsi="Arial" w:cs="Arial"/>
          <w:color w:val="000000"/>
          <w:sz w:val="20"/>
          <w:szCs w:val="20"/>
        </w:rPr>
        <w:t>Tieslietu ministrija ir izskatījusi Finanšu ministrijas izstrādāto likumprojektu “Ieguldījumu brokeru sabiedrību likums” un atbalsta tā tālāku virzību, izsakot šādus iebildumus.</w:t>
      </w:r>
    </w:p>
    <w:p w:rsidR="006B27B8" w:rsidRDefault="006B27B8" w:rsidP="006B27B8">
      <w:pPr>
        <w:pStyle w:val="NormalWeb"/>
        <w:ind w:firstLine="720"/>
        <w:jc w:val="both"/>
        <w:rPr>
          <w:rFonts w:ascii="Calibri" w:hAnsi="Calibri" w:cs="Calibri"/>
          <w:color w:val="000000"/>
        </w:rPr>
      </w:pPr>
      <w:r>
        <w:rPr>
          <w:color w:val="000000"/>
        </w:rPr>
        <w:t xml:space="preserve">1. Lūdzam precizēt projekta 69. pantu. Šobrīd panta saturs ir veidots kā papildinājums panta nosaukumam, nevis kā patstāvīga norma. Pantu varētu izteikt, piemēram, šādā redakcijā: "Brīdinājums ir personas izdarīta pārkāpuma nosodījums, ko izsaka </w:t>
      </w:r>
      <w:proofErr w:type="spellStart"/>
      <w:r>
        <w:rPr>
          <w:color w:val="000000"/>
        </w:rPr>
        <w:t>rakstveidā</w:t>
      </w:r>
      <w:proofErr w:type="spellEnd"/>
      <w:r>
        <w:rPr>
          <w:color w:val="000000"/>
        </w:rPr>
        <w:t>." </w:t>
      </w:r>
    </w:p>
    <w:p w:rsidR="006B27B8" w:rsidRDefault="006B27B8" w:rsidP="006B27B8">
      <w:pPr>
        <w:pStyle w:val="NormalWeb"/>
        <w:ind w:firstLine="720"/>
        <w:jc w:val="both"/>
        <w:rPr>
          <w:rFonts w:ascii="Calibri" w:hAnsi="Calibri" w:cs="Calibri"/>
          <w:color w:val="000000"/>
        </w:rPr>
      </w:pPr>
      <w:r>
        <w:rPr>
          <w:color w:val="000000"/>
        </w:rPr>
        <w:t>2. Projekta 71. pantā ir iekļauts naudas soda regulējums. Vienlaikus šā panta otrajā daļā ir paredzēts konkrēts pārkāpums, proti, grāmatvedības prasību neievērošana. Lai nošķirtu pārkāpumu un sankciju veidu regulējumu, lūdzam projekta 71. panta otrajā daļā minēto pārkāpumu iekļaut 74. pantā, piemēram, šā panta otrajā daļā.  </w:t>
      </w:r>
    </w:p>
    <w:p w:rsidR="006B27B8" w:rsidRDefault="006B27B8" w:rsidP="006B27B8">
      <w:pPr>
        <w:pStyle w:val="NormalWeb"/>
        <w:ind w:firstLine="720"/>
        <w:jc w:val="both"/>
        <w:rPr>
          <w:rFonts w:ascii="Calibri" w:hAnsi="Calibri" w:cs="Calibri"/>
          <w:color w:val="000000"/>
        </w:rPr>
      </w:pPr>
      <w:r>
        <w:rPr>
          <w:color w:val="000000"/>
        </w:rPr>
        <w:t>3. Licences vai atļaujas anulēšana ir viens no sankciju veidiem (projekta 68. pants). Projekta 74. pantā ir norādīti tie pārkāpumi, par kuriem var piemērot projektā paredzētas sankcijas vai administratīvos pasākumus. Tātad arī licences vai atļaujas anulēšana būtu piemērojama par būtisku projekta 74. pantā minētu pārkāpumu (ne jebkādu citu likuma pārkāpumu). Tas atbilst projekta anotācijā ietvertajam skaidrojumam: "Likumprojekta 72. panta pirmā daļa paredz licences vai atļaujas anulēšanu kā sankciju, kuru Finanšu un kapitāla tirgus komisija ir tiesīga piemērot par būtiskiem šā likumprojekta 74. panta pirmās daļas pārkāpumiem." </w:t>
      </w:r>
    </w:p>
    <w:p w:rsidR="006B27B8" w:rsidRDefault="006B27B8" w:rsidP="006B27B8">
      <w:pPr>
        <w:pStyle w:val="NormalWeb"/>
        <w:ind w:firstLine="720"/>
        <w:jc w:val="both"/>
        <w:rPr>
          <w:rFonts w:ascii="Calibri" w:hAnsi="Calibri" w:cs="Calibri"/>
          <w:color w:val="000000"/>
        </w:rPr>
      </w:pPr>
      <w:r>
        <w:rPr>
          <w:color w:val="000000"/>
        </w:rPr>
        <w:t xml:space="preserve">Projektā nav jāatkārto citos likumos paredzētās sankcijas. Piemēram, sankcijas noziedzīgi iegūtu līdzekļu legalizācijas un terorisma finansēšanas novēršanas jomā ir noteiktas Noziedzīgi iegūtu līdzekļu legalizācijas un terorisma un </w:t>
      </w:r>
      <w:proofErr w:type="spellStart"/>
      <w:r>
        <w:rPr>
          <w:color w:val="000000"/>
        </w:rPr>
        <w:t>proliferācijas</w:t>
      </w:r>
      <w:proofErr w:type="spellEnd"/>
      <w:r>
        <w:rPr>
          <w:color w:val="000000"/>
        </w:rPr>
        <w:t xml:space="preserve"> finansēšanas novēršanas likumā, tostarp iespēja apturēt vai pārtraukt subjekta darbību. Tas pats attiecas uz Finanšu instrumentu tirgus likumā paredzētajām sankcijām. </w:t>
      </w:r>
    </w:p>
    <w:p w:rsidR="006B27B8" w:rsidRDefault="006B27B8" w:rsidP="006B27B8">
      <w:pPr>
        <w:pStyle w:val="NormalWeb"/>
        <w:ind w:firstLine="720"/>
        <w:jc w:val="both"/>
        <w:rPr>
          <w:rFonts w:ascii="Calibri" w:hAnsi="Calibri" w:cs="Calibri"/>
          <w:color w:val="000000"/>
        </w:rPr>
      </w:pPr>
      <w:r>
        <w:rPr>
          <w:color w:val="000000"/>
        </w:rPr>
        <w:t>Ievērojot minēto, lūdzam precizēt projekta 72. pantu. </w:t>
      </w:r>
    </w:p>
    <w:p w:rsidR="006B27B8" w:rsidRDefault="006B27B8" w:rsidP="006B27B8">
      <w:pPr>
        <w:pStyle w:val="NormalWeb"/>
        <w:ind w:firstLine="720"/>
        <w:jc w:val="both"/>
        <w:rPr>
          <w:rFonts w:ascii="Calibri" w:hAnsi="Calibri" w:cs="Calibri"/>
          <w:color w:val="000000"/>
        </w:rPr>
      </w:pPr>
      <w:r>
        <w:rPr>
          <w:color w:val="000000"/>
        </w:rPr>
        <w:t>4. Projekta 74. pantā šobrīd ir regulēti divi jautājumi – pārkāpumi ieguldījumu brokeru sabiedrību darbības jomā (šā panta pirmā daļa) un sankciju un administratīvo pasākumu piemērošanas kritēriji.  </w:t>
      </w:r>
    </w:p>
    <w:p w:rsidR="006B27B8" w:rsidRDefault="006B27B8" w:rsidP="006B27B8">
      <w:pPr>
        <w:pStyle w:val="NormalWeb"/>
        <w:ind w:firstLine="720"/>
        <w:jc w:val="both"/>
        <w:rPr>
          <w:rFonts w:ascii="Calibri" w:hAnsi="Calibri" w:cs="Calibri"/>
          <w:color w:val="000000"/>
        </w:rPr>
      </w:pPr>
      <w:r>
        <w:rPr>
          <w:color w:val="000000"/>
        </w:rPr>
        <w:t>Pirmkārt, ieteicams šos jautājumus regulēt atsevišķos pantos (piemēram, "pārkāpumi ieguldījumu brokeru sabiedrību darbības jomā" (vai tamlīdzīgi) un "sankciju un administratīvo pasākumu piemērošana" (piemērošanas kritēriji, piemērošanas vispārīgie noteikumi vai tamlīdzīgi)). Šobrīd panta nosaukums neatbilst panta saturam. </w:t>
      </w:r>
    </w:p>
    <w:p w:rsidR="006B27B8" w:rsidRDefault="006B27B8" w:rsidP="006B27B8">
      <w:pPr>
        <w:pStyle w:val="NormalWeb"/>
        <w:ind w:firstLine="720"/>
        <w:jc w:val="both"/>
        <w:rPr>
          <w:rFonts w:ascii="Calibri" w:hAnsi="Calibri" w:cs="Calibri"/>
          <w:color w:val="000000"/>
        </w:rPr>
      </w:pPr>
      <w:r>
        <w:rPr>
          <w:color w:val="000000"/>
        </w:rPr>
        <w:t xml:space="preserve">Otrkārt, projekta 74. panta pirmās daļas 1. un 6. punktā paredzētie pārkāpumi šķietami pārklājas. Iesniegšanas kavējums ir informācijas nepienācīgas sniegšanas izpausmes veids. Līdz ar to šos pārkāpumus varētu apvienot vienā punktā, paredzot atbildību par "normatīvos aktos noteiktas informācijas publicēšanas prasību </w:t>
      </w:r>
      <w:r>
        <w:rPr>
          <w:color w:val="000000"/>
        </w:rPr>
        <w:lastRenderedPageBreak/>
        <w:t>neievērošanu vai informācijas nesniegšanu, informācijas nepienācīgu sniegšanu vai nepatiesas informācijas sniegšanu Komisijai". Jāievēro, ka šeit ir paredzama atbildība tikai par normatīvajos tiesību aktos noteiktu prasību neievērošanu. </w:t>
      </w:r>
    </w:p>
    <w:p w:rsidR="006B27B8" w:rsidRDefault="006B27B8" w:rsidP="006B27B8">
      <w:pPr>
        <w:pStyle w:val="NormalWeb"/>
        <w:ind w:firstLine="720"/>
        <w:jc w:val="both"/>
        <w:rPr>
          <w:rFonts w:ascii="Calibri" w:hAnsi="Calibri" w:cs="Calibri"/>
          <w:color w:val="000000"/>
        </w:rPr>
      </w:pPr>
      <w:r>
        <w:rPr>
          <w:color w:val="000000"/>
        </w:rPr>
        <w:t xml:space="preserve">5. Projekta anotācijā nav iekļauts pietiekams </w:t>
      </w:r>
      <w:proofErr w:type="spellStart"/>
      <w:r>
        <w:rPr>
          <w:color w:val="000000"/>
        </w:rPr>
        <w:t>izvērtējums</w:t>
      </w:r>
      <w:proofErr w:type="spellEnd"/>
      <w:r>
        <w:rPr>
          <w:color w:val="000000"/>
        </w:rPr>
        <w:t xml:space="preserve"> tam, vai projekta 73. panta pirmās daļas 2. punktā paredzētais administratīvais pasākums tiešām neatbilst sodoša (krimināltiesiska) rakstura administratīvās sankcijas pazīmēm. Projekta anotācijā skaidrots: "Pagaidu aizlieguma kā administratīvā pasākuma piemērošanas mērķis ir pārkāpuma novēršana, proti, tas ir pagaidu aizliegums līdz pārkāpuma izbeigšanās brīdim, kas pēc būtības motivē ieguldījumu brokeru sabiedrību novērst pārkāpumu pēc iespējas ātrāk, lai konkrētā persona var atsākt pildīt tai noteiktos pienākumus." Tomēr šāds skaidrojums neliecina, ka pasākumam nevarētu būt arī sodošs raksturs un nav vērtēta pasākuma seku bardzība (piemēram, ar ko tas atšķiras no citos likumos noteiktajiem profesionālās darbības ierobežojumiem kā sankcijām). </w:t>
      </w:r>
    </w:p>
    <w:p w:rsidR="006B27B8" w:rsidRDefault="006B27B8" w:rsidP="006B27B8">
      <w:pPr>
        <w:pStyle w:val="NormalWeb"/>
        <w:ind w:firstLine="720"/>
        <w:jc w:val="both"/>
        <w:rPr>
          <w:rFonts w:ascii="Calibri" w:hAnsi="Calibri" w:cs="Calibri"/>
          <w:color w:val="000000"/>
        </w:rPr>
      </w:pPr>
      <w:r>
        <w:rPr>
          <w:color w:val="000000"/>
        </w:rPr>
        <w:t>Ja pasākuma mērķis ir pārkāpuma novēršana (resp., iepriekšējā pārkāpuma pamatā esošā pienākuma izpilde), tad tiesību ierobežojums nedrīkst būt tāds, kas pats par sevi liedz izpildīt attiecīgo pienākumu. Ja valdes vai padomes loceklim vai citai personai ir aizliegts veikt tās pienākumus, tas nozīmē, ka šī persona nevarēs novērst pārkāpumu. Līdz ar to attiecībā uz šīm personām piemērotais pasākums nav piemērots minētā mērķa sasniegšanai un varētu saturēt represīvas iezīmes. Vārdam "pagaidu" ir nosacīta nozīme, jo pasākumam nav paredzami ierobežots maksimālais ilgums. Turklāt tā beigas acīmredzot ir atkarīgas no citu personu rīcības. </w:t>
      </w:r>
    </w:p>
    <w:p w:rsidR="006B27B8" w:rsidRDefault="006B27B8" w:rsidP="006B27B8">
      <w:pPr>
        <w:pStyle w:val="NormalWeb"/>
        <w:ind w:firstLine="720"/>
        <w:jc w:val="both"/>
        <w:rPr>
          <w:rFonts w:ascii="Calibri" w:hAnsi="Calibri" w:cs="Calibri"/>
          <w:color w:val="000000"/>
        </w:rPr>
      </w:pPr>
      <w:r>
        <w:rPr>
          <w:color w:val="000000"/>
        </w:rPr>
        <w:t>Tāpat nav skaidrs projektā lietotās pazīmes "līdz pārkāpuma izbeigšanās brīdim" saturs. Pārkāpums ir pabeigts tiklīdz persona ir veikusi attiecīgo rīcību, kas atbilst pārkāpuma pazīmēm. Ilgstoša pārkāpuma gadījumā, ja tas tiek konstatēts un saistībā ar to piemērota sankcija vai cits pasākums, attiecīgā pienākuma turpmāka nepildīšana var veidot jau jaunu pārkāpumu. </w:t>
      </w:r>
    </w:p>
    <w:p w:rsidR="006B27B8" w:rsidRDefault="006B27B8" w:rsidP="006B27B8">
      <w:pPr>
        <w:pStyle w:val="NormalWeb"/>
        <w:ind w:firstLine="720"/>
        <w:jc w:val="both"/>
        <w:rPr>
          <w:rFonts w:ascii="Calibri" w:hAnsi="Calibri" w:cs="Calibri"/>
          <w:color w:val="000000"/>
        </w:rPr>
      </w:pPr>
      <w:r>
        <w:rPr>
          <w:color w:val="000000"/>
        </w:rPr>
        <w:t>Lūdzam atkārtoti izvērtēt aizlieguma veikt personai noteiktos pienākumus raksturu, precizēt projektu, ja tas nepieciešams, un ietvert argumentētu skaidrojumu projekta anotācijā. </w:t>
      </w:r>
    </w:p>
    <w:p w:rsidR="006B27B8" w:rsidRDefault="006B27B8" w:rsidP="006B27B8">
      <w:pPr>
        <w:rPr>
          <w:rFonts w:ascii="Calibri" w:eastAsia="Times New Roman" w:hAnsi="Calibri" w:cs="Calibri"/>
          <w:color w:val="000000"/>
        </w:rPr>
      </w:pPr>
    </w:p>
    <w:p w:rsidR="006B27B8" w:rsidRDefault="006B27B8" w:rsidP="006B27B8">
      <w:pPr>
        <w:pStyle w:val="NormalWeb"/>
        <w:rPr>
          <w:rFonts w:ascii="Calibri" w:hAnsi="Calibri" w:cs="Calibri"/>
          <w:color w:val="000000"/>
          <w:sz w:val="22"/>
          <w:szCs w:val="22"/>
        </w:rPr>
      </w:pPr>
      <w:r>
        <w:rPr>
          <w:rFonts w:ascii="Arial" w:hAnsi="Arial" w:cs="Arial"/>
          <w:color w:val="000000"/>
          <w:sz w:val="20"/>
          <w:szCs w:val="20"/>
        </w:rPr>
        <w:t> </w:t>
      </w:r>
    </w:p>
    <w:p w:rsidR="006B27B8" w:rsidRDefault="006B27B8" w:rsidP="006B27B8">
      <w:pPr>
        <w:pStyle w:val="NormalWeb"/>
        <w:ind w:left="360" w:hanging="360"/>
        <w:rPr>
          <w:rFonts w:ascii="Calibri" w:hAnsi="Calibri" w:cs="Calibri"/>
          <w:color w:val="000000"/>
          <w:sz w:val="22"/>
          <w:szCs w:val="22"/>
        </w:rPr>
      </w:pPr>
      <w:r>
        <w:rPr>
          <w:rFonts w:ascii="Arial" w:hAnsi="Arial" w:cs="Arial"/>
          <w:b/>
          <w:bCs/>
          <w:color w:val="000000"/>
          <w:sz w:val="20"/>
          <w:szCs w:val="20"/>
        </w:rPr>
        <w:t>2.</w:t>
      </w:r>
      <w:r>
        <w:rPr>
          <w:b/>
          <w:bCs/>
          <w:color w:val="000000"/>
          <w:sz w:val="14"/>
          <w:szCs w:val="14"/>
        </w:rPr>
        <w:t xml:space="preserve">     </w:t>
      </w:r>
      <w:r>
        <w:rPr>
          <w:rFonts w:ascii="Arial" w:hAnsi="Arial" w:cs="Arial"/>
          <w:b/>
          <w:bCs/>
          <w:color w:val="000000"/>
          <w:sz w:val="20"/>
          <w:szCs w:val="20"/>
        </w:rPr>
        <w:t>“Grozījumi Finanšu instrumentu tirgus likumā” (VSS-154)</w:t>
      </w:r>
    </w:p>
    <w:p w:rsidR="006B27B8" w:rsidRDefault="006B27B8" w:rsidP="006B27B8">
      <w:pPr>
        <w:pStyle w:val="NormalWeb"/>
        <w:rPr>
          <w:rFonts w:ascii="Calibri" w:hAnsi="Calibri" w:cs="Calibri"/>
          <w:color w:val="000000"/>
          <w:sz w:val="22"/>
          <w:szCs w:val="22"/>
        </w:rPr>
      </w:pPr>
      <w:r>
        <w:rPr>
          <w:rFonts w:ascii="Arial" w:hAnsi="Arial" w:cs="Arial"/>
          <w:color w:val="000000"/>
          <w:sz w:val="20"/>
          <w:szCs w:val="20"/>
        </w:rPr>
        <w:t xml:space="preserve">Tieslietu ministrija ir izskatījusi Finanšu ministrijas izstrādāto likumprojektu “Grozījumi Finanšu instrumentu tirgus likumā” un atbalsta tā tālāku virzību bez priekšlikumiem vai iebildumiem. </w:t>
      </w:r>
    </w:p>
    <w:p w:rsidR="006B27B8" w:rsidRDefault="006B27B8" w:rsidP="006B27B8">
      <w:pPr>
        <w:pStyle w:val="NormalWeb"/>
        <w:rPr>
          <w:rFonts w:ascii="Calibri" w:hAnsi="Calibri" w:cs="Calibri"/>
          <w:color w:val="000000"/>
          <w:sz w:val="22"/>
          <w:szCs w:val="22"/>
        </w:rPr>
      </w:pPr>
      <w:r>
        <w:rPr>
          <w:rFonts w:ascii="Arial" w:hAnsi="Arial" w:cs="Arial"/>
          <w:color w:val="000000"/>
          <w:sz w:val="20"/>
          <w:szCs w:val="20"/>
        </w:rPr>
        <w:t> </w:t>
      </w:r>
    </w:p>
    <w:p w:rsidR="006B27B8" w:rsidRDefault="006B27B8" w:rsidP="006B27B8">
      <w:pPr>
        <w:pStyle w:val="NormalWeb"/>
        <w:ind w:left="360" w:hanging="360"/>
        <w:rPr>
          <w:rFonts w:ascii="Calibri" w:hAnsi="Calibri" w:cs="Calibri"/>
          <w:color w:val="000000"/>
          <w:sz w:val="22"/>
          <w:szCs w:val="22"/>
        </w:rPr>
      </w:pPr>
      <w:r>
        <w:rPr>
          <w:rFonts w:ascii="Arial" w:hAnsi="Arial" w:cs="Arial"/>
          <w:b/>
          <w:bCs/>
          <w:color w:val="000000"/>
          <w:sz w:val="20"/>
          <w:szCs w:val="20"/>
        </w:rPr>
        <w:t>3.</w:t>
      </w:r>
      <w:r>
        <w:rPr>
          <w:b/>
          <w:bCs/>
          <w:color w:val="000000"/>
          <w:sz w:val="14"/>
          <w:szCs w:val="14"/>
        </w:rPr>
        <w:t xml:space="preserve">     </w:t>
      </w:r>
      <w:r>
        <w:rPr>
          <w:rFonts w:ascii="Arial" w:hAnsi="Arial" w:cs="Arial"/>
          <w:b/>
          <w:bCs/>
          <w:color w:val="000000"/>
          <w:sz w:val="20"/>
          <w:szCs w:val="20"/>
        </w:rPr>
        <w:t>“Grozījumi Kredītiestāžu likumā” (VSS-155)</w:t>
      </w:r>
    </w:p>
    <w:p w:rsidR="006B27B8" w:rsidRDefault="006B27B8" w:rsidP="006B27B8">
      <w:pPr>
        <w:pStyle w:val="NormalWeb"/>
        <w:rPr>
          <w:rFonts w:ascii="Calibri" w:hAnsi="Calibri" w:cs="Calibri"/>
          <w:color w:val="000000"/>
          <w:sz w:val="22"/>
          <w:szCs w:val="22"/>
        </w:rPr>
      </w:pPr>
      <w:r>
        <w:rPr>
          <w:rFonts w:ascii="Arial" w:hAnsi="Arial" w:cs="Arial"/>
          <w:color w:val="000000"/>
          <w:sz w:val="20"/>
          <w:szCs w:val="20"/>
        </w:rPr>
        <w:t>Tieslietu ministrija ir izskatījusi Finanšu ministrijas izstrādāto likumprojektu “Grozījumi Kredītiestāžu likumā” un atbalsta tā tālāku virzību bez priekšlikumiem vai iebildumiem.</w:t>
      </w:r>
    </w:p>
    <w:p w:rsidR="006B27B8" w:rsidRDefault="006B27B8" w:rsidP="006B27B8">
      <w:pPr>
        <w:pStyle w:val="NormalWeb"/>
        <w:rPr>
          <w:rFonts w:ascii="Calibri" w:hAnsi="Calibri" w:cs="Calibri"/>
          <w:color w:val="000000"/>
          <w:sz w:val="22"/>
          <w:szCs w:val="22"/>
        </w:rPr>
      </w:pPr>
      <w:r>
        <w:rPr>
          <w:rFonts w:ascii="Arial" w:hAnsi="Arial" w:cs="Arial"/>
          <w:color w:val="000000"/>
          <w:sz w:val="20"/>
          <w:szCs w:val="20"/>
        </w:rPr>
        <w:t> </w:t>
      </w:r>
    </w:p>
    <w:p w:rsidR="006B27B8" w:rsidRDefault="006B27B8" w:rsidP="006B27B8">
      <w:pPr>
        <w:pStyle w:val="NormalWeb"/>
        <w:ind w:left="360" w:hanging="360"/>
        <w:rPr>
          <w:rFonts w:ascii="Calibri" w:hAnsi="Calibri" w:cs="Calibri"/>
          <w:color w:val="000000"/>
          <w:sz w:val="22"/>
          <w:szCs w:val="22"/>
        </w:rPr>
      </w:pPr>
      <w:r>
        <w:rPr>
          <w:rFonts w:ascii="Arial" w:hAnsi="Arial" w:cs="Arial"/>
          <w:b/>
          <w:bCs/>
          <w:color w:val="000000"/>
          <w:sz w:val="20"/>
          <w:szCs w:val="20"/>
        </w:rPr>
        <w:t>4.</w:t>
      </w:r>
      <w:r>
        <w:rPr>
          <w:b/>
          <w:bCs/>
          <w:color w:val="000000"/>
          <w:sz w:val="14"/>
          <w:szCs w:val="14"/>
        </w:rPr>
        <w:t xml:space="preserve">     </w:t>
      </w:r>
      <w:r>
        <w:rPr>
          <w:rFonts w:ascii="Arial" w:hAnsi="Arial" w:cs="Arial"/>
          <w:b/>
          <w:bCs/>
          <w:color w:val="000000"/>
          <w:sz w:val="20"/>
          <w:szCs w:val="20"/>
        </w:rPr>
        <w:t>“Grozījumi Ieguldījumu pārvaldes sabiedrību likumā” (VSS-156)</w:t>
      </w:r>
    </w:p>
    <w:p w:rsidR="006B27B8" w:rsidRDefault="006B27B8" w:rsidP="006B27B8">
      <w:pPr>
        <w:pStyle w:val="NormalWeb"/>
        <w:rPr>
          <w:rFonts w:ascii="Calibri" w:hAnsi="Calibri" w:cs="Calibri"/>
          <w:color w:val="000000"/>
          <w:sz w:val="22"/>
          <w:szCs w:val="22"/>
        </w:rPr>
      </w:pPr>
      <w:r>
        <w:rPr>
          <w:rFonts w:ascii="Arial" w:hAnsi="Arial" w:cs="Arial"/>
          <w:color w:val="000000"/>
          <w:sz w:val="20"/>
          <w:szCs w:val="20"/>
        </w:rPr>
        <w:t>Tieslietu ministrija ir izskatījusi Finanšu ministrijas izstrādāto likumprojektu “Grozījumi Ieguldījumu pārvaldes sabiedrību likumā” un atbalsta tā tālāku virzību, vienlaikus izsakot šādu priekšlikumu.</w:t>
      </w:r>
    </w:p>
    <w:p w:rsidR="006B27B8" w:rsidRDefault="006B27B8" w:rsidP="006B27B8">
      <w:pPr>
        <w:pStyle w:val="NormalWeb"/>
        <w:rPr>
          <w:rFonts w:ascii="Calibri" w:hAnsi="Calibri" w:cs="Calibri"/>
          <w:color w:val="000000"/>
          <w:sz w:val="22"/>
          <w:szCs w:val="22"/>
        </w:rPr>
      </w:pPr>
      <w:r>
        <w:rPr>
          <w:rFonts w:ascii="Arial" w:hAnsi="Arial" w:cs="Arial"/>
          <w:color w:val="000000"/>
          <w:sz w:val="20"/>
          <w:szCs w:val="20"/>
        </w:rPr>
        <w:t>1. Lai padarītu Ieguldījumu pārvaldes sabiedrību likuma 9. panta trešo daļu gramatiski korektāku, aicinām to izteikt šādā redakcijā:</w:t>
      </w:r>
    </w:p>
    <w:p w:rsidR="006B27B8" w:rsidRDefault="006B27B8" w:rsidP="006B27B8">
      <w:pPr>
        <w:pStyle w:val="NormalWeb"/>
        <w:rPr>
          <w:rFonts w:ascii="Calibri" w:hAnsi="Calibri" w:cs="Calibri"/>
          <w:color w:val="000000"/>
          <w:sz w:val="22"/>
          <w:szCs w:val="22"/>
        </w:rPr>
      </w:pPr>
      <w:r>
        <w:rPr>
          <w:rFonts w:ascii="Arial" w:hAnsi="Arial" w:cs="Arial"/>
          <w:i/>
          <w:iCs/>
          <w:color w:val="000000"/>
          <w:sz w:val="20"/>
          <w:szCs w:val="20"/>
        </w:rPr>
        <w:t>“(3) Par sabiedrības padomes locekli un amatpersonu nevar būt persona, kura:</w:t>
      </w:r>
    </w:p>
    <w:p w:rsidR="006B27B8" w:rsidRDefault="006B27B8" w:rsidP="006B27B8">
      <w:pPr>
        <w:pStyle w:val="NormalWeb"/>
        <w:rPr>
          <w:rFonts w:ascii="Calibri" w:hAnsi="Calibri" w:cs="Calibri"/>
          <w:color w:val="000000"/>
          <w:sz w:val="22"/>
          <w:szCs w:val="22"/>
        </w:rPr>
      </w:pPr>
      <w:r>
        <w:rPr>
          <w:rFonts w:ascii="Arial" w:hAnsi="Arial" w:cs="Arial"/>
          <w:i/>
          <w:iCs/>
          <w:color w:val="000000"/>
          <w:sz w:val="20"/>
          <w:szCs w:val="20"/>
        </w:rPr>
        <w:t>1) ir sodīta par tīša noziedzīga nodarījuma izdarīšanu pret valsti, īpašumu vai pārvaldības kārtību vai par tīša noziedzīga nodarījuma izdarīšanu tautsaimniecībā vai valsts institūciju dienestā, vai par tāda nozieguma izdarīšanu, kas saistīts ar terorismu;</w:t>
      </w:r>
    </w:p>
    <w:p w:rsidR="006B27B8" w:rsidRDefault="006B27B8" w:rsidP="006B27B8">
      <w:pPr>
        <w:pStyle w:val="NormalWeb"/>
        <w:rPr>
          <w:rFonts w:ascii="Calibri" w:hAnsi="Calibri" w:cs="Calibri"/>
          <w:color w:val="000000"/>
          <w:sz w:val="22"/>
          <w:szCs w:val="22"/>
        </w:rPr>
      </w:pPr>
      <w:r>
        <w:rPr>
          <w:rFonts w:ascii="Arial" w:hAnsi="Arial" w:cs="Arial"/>
          <w:i/>
          <w:iCs/>
          <w:color w:val="000000"/>
          <w:sz w:val="20"/>
          <w:szCs w:val="20"/>
        </w:rPr>
        <w:t>2) notiesāta par šīs daļas 1.punktā minētā tīša noziedzīga nodarījuma izdarīšanu, atbrīvojot no soda vai pret kuru kriminālprocess izbeigts uz nereabilitējoša pamata — kamēr nav pagājis gads pēc attiecīgā lēmuma stāšanās spēkā;</w:t>
      </w:r>
    </w:p>
    <w:p w:rsidR="006B27B8" w:rsidRDefault="006B27B8" w:rsidP="006B27B8">
      <w:pPr>
        <w:pStyle w:val="NormalWeb"/>
        <w:rPr>
          <w:rFonts w:ascii="Calibri" w:hAnsi="Calibri" w:cs="Calibri"/>
          <w:color w:val="000000"/>
          <w:sz w:val="22"/>
          <w:szCs w:val="22"/>
        </w:rPr>
      </w:pPr>
      <w:r>
        <w:rPr>
          <w:rFonts w:ascii="Arial" w:hAnsi="Arial" w:cs="Arial"/>
          <w:i/>
          <w:iCs/>
          <w:color w:val="000000"/>
          <w:sz w:val="20"/>
          <w:szCs w:val="20"/>
        </w:rPr>
        <w:lastRenderedPageBreak/>
        <w:t>3) ir sniegusi nepatiesas ziņas par sevi, iesniedzot Komisijai dokumentus, lai saņemtu licenci sabiedrības darbībai vai citai darbībai finanšu un kapitāla tirgū.”</w:t>
      </w:r>
    </w:p>
    <w:p w:rsidR="006B27B8" w:rsidRDefault="006B27B8" w:rsidP="006B27B8">
      <w:pPr>
        <w:pStyle w:val="NormalWeb"/>
        <w:ind w:left="360"/>
        <w:rPr>
          <w:rFonts w:ascii="Calibri" w:hAnsi="Calibri" w:cs="Calibri"/>
          <w:color w:val="000000"/>
          <w:sz w:val="22"/>
          <w:szCs w:val="22"/>
        </w:rPr>
      </w:pPr>
      <w:r>
        <w:rPr>
          <w:rFonts w:ascii="Arial" w:hAnsi="Arial" w:cs="Arial"/>
          <w:color w:val="000000"/>
          <w:sz w:val="20"/>
          <w:szCs w:val="20"/>
        </w:rPr>
        <w:t> </w:t>
      </w:r>
    </w:p>
    <w:p w:rsidR="006B27B8" w:rsidRDefault="006B27B8" w:rsidP="006B27B8">
      <w:pPr>
        <w:pStyle w:val="NormalWeb"/>
        <w:ind w:left="360" w:hanging="360"/>
        <w:rPr>
          <w:rFonts w:ascii="Calibri" w:hAnsi="Calibri" w:cs="Calibri"/>
          <w:color w:val="000000"/>
          <w:sz w:val="22"/>
          <w:szCs w:val="22"/>
        </w:rPr>
      </w:pPr>
      <w:r>
        <w:rPr>
          <w:rFonts w:ascii="Arial" w:hAnsi="Arial" w:cs="Arial"/>
          <w:b/>
          <w:bCs/>
          <w:color w:val="000000"/>
          <w:sz w:val="20"/>
          <w:szCs w:val="20"/>
        </w:rPr>
        <w:t>5.</w:t>
      </w:r>
      <w:r>
        <w:rPr>
          <w:b/>
          <w:bCs/>
          <w:color w:val="000000"/>
          <w:sz w:val="14"/>
          <w:szCs w:val="14"/>
        </w:rPr>
        <w:t xml:space="preserve">     </w:t>
      </w:r>
      <w:r>
        <w:rPr>
          <w:rFonts w:ascii="Arial" w:hAnsi="Arial" w:cs="Arial"/>
          <w:b/>
          <w:bCs/>
          <w:color w:val="000000"/>
          <w:sz w:val="20"/>
          <w:szCs w:val="20"/>
        </w:rPr>
        <w:t>“Grozījumi Alternatīvo ieguldījumu fondu un to pārvaldnieku likumā” (VSS-157)</w:t>
      </w:r>
    </w:p>
    <w:p w:rsidR="006B27B8" w:rsidRDefault="006B27B8" w:rsidP="006B27B8">
      <w:pPr>
        <w:pStyle w:val="NormalWeb"/>
        <w:rPr>
          <w:rFonts w:ascii="Calibri" w:hAnsi="Calibri" w:cs="Calibri"/>
          <w:color w:val="000000"/>
          <w:sz w:val="22"/>
          <w:szCs w:val="22"/>
        </w:rPr>
      </w:pPr>
      <w:r>
        <w:rPr>
          <w:rFonts w:ascii="Arial" w:hAnsi="Arial" w:cs="Arial"/>
          <w:color w:val="000000"/>
          <w:sz w:val="20"/>
          <w:szCs w:val="20"/>
        </w:rPr>
        <w:t>Tieslietu ministrija ir izskatījusi Finanšu ministrijas izstrādāto likumprojektu “Grozījumi Alternatīvo ieguldījumu fondu un to pārvaldnieku likumā” un atbalsta tā tālāku virzību bez priekšlikumiem vai iebildumiem.</w:t>
      </w:r>
    </w:p>
    <w:p w:rsidR="006B27B8" w:rsidRDefault="006B27B8" w:rsidP="006B27B8">
      <w:pPr>
        <w:pStyle w:val="NormalWeb"/>
        <w:rPr>
          <w:rFonts w:ascii="Calibri" w:hAnsi="Calibri" w:cs="Calibri"/>
          <w:color w:val="000000"/>
          <w:sz w:val="22"/>
          <w:szCs w:val="22"/>
        </w:rPr>
      </w:pPr>
      <w:r>
        <w:rPr>
          <w:rFonts w:ascii="Arial" w:hAnsi="Arial" w:cs="Arial"/>
          <w:b/>
          <w:bCs/>
          <w:color w:val="000000"/>
          <w:sz w:val="20"/>
          <w:szCs w:val="20"/>
        </w:rPr>
        <w:t> </w:t>
      </w:r>
    </w:p>
    <w:p w:rsidR="006B27B8" w:rsidRDefault="006B27B8" w:rsidP="006B27B8">
      <w:pPr>
        <w:pStyle w:val="NormalWeb"/>
        <w:ind w:left="360" w:hanging="360"/>
        <w:rPr>
          <w:rFonts w:ascii="Calibri" w:hAnsi="Calibri" w:cs="Calibri"/>
          <w:color w:val="000000"/>
          <w:sz w:val="22"/>
          <w:szCs w:val="22"/>
        </w:rPr>
      </w:pPr>
      <w:r>
        <w:rPr>
          <w:rFonts w:ascii="Arial" w:hAnsi="Arial" w:cs="Arial"/>
          <w:b/>
          <w:bCs/>
          <w:color w:val="000000"/>
          <w:sz w:val="20"/>
          <w:szCs w:val="20"/>
        </w:rPr>
        <w:t>6.</w:t>
      </w:r>
      <w:r>
        <w:rPr>
          <w:b/>
          <w:bCs/>
          <w:color w:val="000000"/>
          <w:sz w:val="14"/>
          <w:szCs w:val="14"/>
        </w:rPr>
        <w:t xml:space="preserve">     </w:t>
      </w:r>
      <w:r>
        <w:rPr>
          <w:rFonts w:ascii="Arial" w:hAnsi="Arial" w:cs="Arial"/>
          <w:b/>
          <w:bCs/>
          <w:color w:val="000000"/>
          <w:sz w:val="20"/>
          <w:szCs w:val="20"/>
        </w:rPr>
        <w:t>“Grozījumi Finanšu konglomerātu likumā” (VSS-158)</w:t>
      </w:r>
    </w:p>
    <w:p w:rsidR="006B27B8" w:rsidRDefault="006B27B8" w:rsidP="006B27B8">
      <w:pPr>
        <w:pStyle w:val="NormalWeb"/>
        <w:rPr>
          <w:rFonts w:ascii="Calibri" w:hAnsi="Calibri" w:cs="Calibri"/>
          <w:color w:val="000000"/>
          <w:sz w:val="22"/>
          <w:szCs w:val="22"/>
        </w:rPr>
      </w:pPr>
      <w:r>
        <w:rPr>
          <w:rFonts w:ascii="Arial" w:hAnsi="Arial" w:cs="Arial"/>
          <w:color w:val="000000"/>
          <w:sz w:val="20"/>
          <w:szCs w:val="20"/>
        </w:rPr>
        <w:t>Tieslietu ministrija ir izskatījusi Finanšu ministrijas izstrādāto likumprojektu “Grozījumi Finanšu konglomerātu likumā” un atbalsta tā tālāku virzību, vienlaikus izsakot šādu priekšlikumu.</w:t>
      </w:r>
    </w:p>
    <w:p w:rsidR="006B27B8" w:rsidRDefault="006B27B8" w:rsidP="006B27B8">
      <w:pPr>
        <w:pStyle w:val="NormalWeb"/>
        <w:rPr>
          <w:rFonts w:ascii="Calibri" w:hAnsi="Calibri" w:cs="Calibri"/>
          <w:color w:val="000000"/>
          <w:sz w:val="22"/>
          <w:szCs w:val="22"/>
        </w:rPr>
      </w:pPr>
      <w:r>
        <w:rPr>
          <w:rFonts w:ascii="Arial" w:hAnsi="Arial" w:cs="Arial"/>
          <w:color w:val="000000"/>
          <w:sz w:val="20"/>
          <w:szCs w:val="20"/>
        </w:rPr>
        <w:t xml:space="preserve">1. Lai padarītu Finanšu konglomerātu likuma 18. panta otro daļu gramatiski korektāku, aicinām to precizēt, aiz vārdiem “nevar būt persona” papildinot ar vārdu “, kura:”. </w:t>
      </w:r>
    </w:p>
    <w:p w:rsidR="006B27B8" w:rsidRDefault="006B27B8" w:rsidP="006B27B8">
      <w:pPr>
        <w:pStyle w:val="NormalWeb"/>
        <w:rPr>
          <w:rFonts w:ascii="Calibri" w:hAnsi="Calibri" w:cs="Calibri"/>
          <w:color w:val="000000"/>
          <w:sz w:val="22"/>
          <w:szCs w:val="22"/>
        </w:rPr>
      </w:pPr>
      <w:r>
        <w:rPr>
          <w:rFonts w:ascii="Arial" w:hAnsi="Arial" w:cs="Arial"/>
          <w:b/>
          <w:bCs/>
          <w:color w:val="000000"/>
          <w:sz w:val="20"/>
          <w:szCs w:val="20"/>
        </w:rPr>
        <w:t> </w:t>
      </w:r>
    </w:p>
    <w:p w:rsidR="006B27B8" w:rsidRDefault="006B27B8" w:rsidP="006B27B8">
      <w:pPr>
        <w:pStyle w:val="NormalWeb"/>
        <w:ind w:left="360" w:hanging="360"/>
        <w:rPr>
          <w:rFonts w:ascii="Calibri" w:hAnsi="Calibri" w:cs="Calibri"/>
          <w:color w:val="000000"/>
          <w:sz w:val="22"/>
          <w:szCs w:val="22"/>
        </w:rPr>
      </w:pPr>
      <w:r>
        <w:rPr>
          <w:rFonts w:ascii="Arial" w:hAnsi="Arial" w:cs="Arial"/>
          <w:b/>
          <w:bCs/>
          <w:color w:val="000000"/>
          <w:sz w:val="20"/>
          <w:szCs w:val="20"/>
        </w:rPr>
        <w:t>7.</w:t>
      </w:r>
      <w:r>
        <w:rPr>
          <w:b/>
          <w:bCs/>
          <w:color w:val="000000"/>
          <w:sz w:val="14"/>
          <w:szCs w:val="14"/>
        </w:rPr>
        <w:t xml:space="preserve">     </w:t>
      </w:r>
      <w:r>
        <w:rPr>
          <w:rFonts w:ascii="Arial" w:hAnsi="Arial" w:cs="Arial"/>
          <w:b/>
          <w:bCs/>
          <w:color w:val="000000"/>
          <w:sz w:val="20"/>
          <w:szCs w:val="20"/>
        </w:rPr>
        <w:t>“Grozījumi Kredītiestāžu un ieguldījumu brokeru sabiedrību darbības atjaunošanas un noregulējuma likumā” (VSS-159)</w:t>
      </w:r>
    </w:p>
    <w:p w:rsidR="006B27B8" w:rsidRDefault="006B27B8" w:rsidP="006B27B8">
      <w:pPr>
        <w:pStyle w:val="NormalWeb"/>
        <w:rPr>
          <w:rFonts w:ascii="Calibri" w:hAnsi="Calibri" w:cs="Calibri"/>
          <w:color w:val="000000"/>
          <w:sz w:val="22"/>
          <w:szCs w:val="22"/>
        </w:rPr>
      </w:pPr>
      <w:r>
        <w:rPr>
          <w:rFonts w:ascii="Arial" w:hAnsi="Arial" w:cs="Arial"/>
          <w:color w:val="000000"/>
          <w:sz w:val="20"/>
          <w:szCs w:val="20"/>
        </w:rPr>
        <w:t>Tieslietu ministrija ir izskatījusi Finanšu ministrijas izstrādāto likumprojektu “Grozījumi Kredītiestāžu un ieguldījumu brokeru sabiedrību darbības atjaunošanas un noregulējuma likumā” un atbalsta tā tālāku virzību bez priekšlikumiem vai iebildumiem.</w:t>
      </w:r>
    </w:p>
    <w:p w:rsidR="006B27B8" w:rsidRDefault="006B27B8" w:rsidP="006B27B8">
      <w:pPr>
        <w:rPr>
          <w:rFonts w:ascii="Calibri" w:eastAsia="Times New Roman" w:hAnsi="Calibri" w:cs="Calibri"/>
          <w:color w:val="000000"/>
          <w:sz w:val="24"/>
          <w:szCs w:val="24"/>
        </w:rPr>
      </w:pPr>
    </w:p>
    <w:p w:rsidR="006B27B8" w:rsidRDefault="006B27B8" w:rsidP="006B27B8">
      <w:pPr>
        <w:rPr>
          <w:rFonts w:ascii="Calibri" w:eastAsia="Times New Roman" w:hAnsi="Calibri" w:cs="Calibri"/>
          <w:color w:val="000000"/>
        </w:rPr>
      </w:pPr>
    </w:p>
    <w:p w:rsidR="006B27B8" w:rsidRDefault="006B27B8" w:rsidP="006B27B8">
      <w:pPr>
        <w:pStyle w:val="NormalWeb"/>
        <w:shd w:val="clear" w:color="auto" w:fill="FFFFFF"/>
        <w:rPr>
          <w:rFonts w:ascii="Calibri" w:hAnsi="Calibri" w:cs="Calibri"/>
          <w:color w:val="201F1E"/>
          <w:sz w:val="22"/>
          <w:szCs w:val="22"/>
        </w:rPr>
      </w:pPr>
      <w:r>
        <w:rPr>
          <w:rFonts w:ascii="Calibri" w:hAnsi="Calibri" w:cs="Calibri"/>
          <w:color w:val="1F497D"/>
          <w:sz w:val="22"/>
          <w:szCs w:val="22"/>
        </w:rPr>
        <w:t>Ar cieņu,</w:t>
      </w:r>
    </w:p>
    <w:p w:rsidR="006B27B8" w:rsidRDefault="006B27B8" w:rsidP="006B27B8">
      <w:pPr>
        <w:pStyle w:val="NormalWeb"/>
        <w:shd w:val="clear" w:color="auto" w:fill="FFFFFF"/>
        <w:rPr>
          <w:rFonts w:ascii="Calibri" w:hAnsi="Calibri" w:cs="Calibri"/>
          <w:color w:val="201F1E"/>
          <w:sz w:val="22"/>
          <w:szCs w:val="22"/>
        </w:rPr>
      </w:pPr>
      <w:r>
        <w:rPr>
          <w:rFonts w:ascii="Calibri" w:hAnsi="Calibri" w:cs="Calibri"/>
          <w:b/>
          <w:bCs/>
          <w:color w:val="1F497D"/>
          <w:sz w:val="22"/>
          <w:szCs w:val="22"/>
        </w:rPr>
        <w:t> </w:t>
      </w:r>
    </w:p>
    <w:p w:rsidR="006B27B8" w:rsidRDefault="006B27B8" w:rsidP="006B27B8">
      <w:pPr>
        <w:pStyle w:val="NormalWeb"/>
        <w:shd w:val="clear" w:color="auto" w:fill="FFFFFF"/>
        <w:rPr>
          <w:rFonts w:ascii="Calibri" w:hAnsi="Calibri" w:cs="Calibri"/>
          <w:color w:val="201F1E"/>
          <w:sz w:val="22"/>
          <w:szCs w:val="22"/>
        </w:rPr>
      </w:pPr>
      <w:r>
        <w:rPr>
          <w:rFonts w:ascii="Calibri" w:hAnsi="Calibri" w:cs="Calibri"/>
          <w:b/>
          <w:bCs/>
          <w:color w:val="1F497D"/>
          <w:sz w:val="22"/>
          <w:szCs w:val="22"/>
        </w:rPr>
        <w:t xml:space="preserve">Anita </w:t>
      </w:r>
      <w:proofErr w:type="spellStart"/>
      <w:r>
        <w:rPr>
          <w:rFonts w:ascii="Calibri" w:hAnsi="Calibri" w:cs="Calibri"/>
          <w:b/>
          <w:bCs/>
          <w:color w:val="1F497D"/>
          <w:sz w:val="22"/>
          <w:szCs w:val="22"/>
        </w:rPr>
        <w:t>Cehanoviča</w:t>
      </w:r>
      <w:proofErr w:type="spellEnd"/>
    </w:p>
    <w:p w:rsidR="006B27B8" w:rsidRDefault="006B27B8" w:rsidP="006B27B8">
      <w:pPr>
        <w:pStyle w:val="NormalWeb"/>
        <w:shd w:val="clear" w:color="auto" w:fill="FFFFFF"/>
        <w:rPr>
          <w:rFonts w:ascii="Calibri" w:hAnsi="Calibri" w:cs="Calibri"/>
          <w:color w:val="201F1E"/>
          <w:sz w:val="22"/>
          <w:szCs w:val="22"/>
        </w:rPr>
      </w:pPr>
      <w:r>
        <w:rPr>
          <w:rFonts w:ascii="Calibri" w:hAnsi="Calibri" w:cs="Calibri"/>
          <w:color w:val="1F497D"/>
          <w:sz w:val="22"/>
          <w:szCs w:val="22"/>
        </w:rPr>
        <w:t>Tieslietu ministrijas</w:t>
      </w:r>
    </w:p>
    <w:p w:rsidR="006B27B8" w:rsidRDefault="006B27B8" w:rsidP="006B27B8">
      <w:pPr>
        <w:pStyle w:val="NormalWeb"/>
        <w:shd w:val="clear" w:color="auto" w:fill="FFFFFF"/>
        <w:rPr>
          <w:rFonts w:ascii="Calibri" w:hAnsi="Calibri" w:cs="Calibri"/>
          <w:color w:val="201F1E"/>
          <w:sz w:val="22"/>
          <w:szCs w:val="22"/>
        </w:rPr>
      </w:pPr>
      <w:r>
        <w:rPr>
          <w:rFonts w:ascii="Calibri" w:hAnsi="Calibri" w:cs="Calibri"/>
          <w:color w:val="1F497D"/>
          <w:sz w:val="22"/>
          <w:szCs w:val="22"/>
        </w:rPr>
        <w:t>Civiltiesību departamenta</w:t>
      </w:r>
    </w:p>
    <w:p w:rsidR="006B27B8" w:rsidRDefault="006B27B8" w:rsidP="006B27B8">
      <w:pPr>
        <w:pStyle w:val="NormalWeb"/>
        <w:shd w:val="clear" w:color="auto" w:fill="FFFFFF"/>
        <w:rPr>
          <w:rFonts w:ascii="Calibri" w:hAnsi="Calibri" w:cs="Calibri"/>
          <w:color w:val="201F1E"/>
          <w:sz w:val="22"/>
          <w:szCs w:val="22"/>
        </w:rPr>
      </w:pPr>
      <w:r>
        <w:rPr>
          <w:rFonts w:ascii="Calibri" w:hAnsi="Calibri" w:cs="Calibri"/>
          <w:color w:val="1F497D"/>
          <w:sz w:val="22"/>
          <w:szCs w:val="22"/>
        </w:rPr>
        <w:t>Komerctiesību nodaļas juriste</w:t>
      </w:r>
    </w:p>
    <w:p w:rsidR="006B27B8" w:rsidRDefault="006B27B8" w:rsidP="006B27B8">
      <w:pPr>
        <w:pStyle w:val="NormalWeb"/>
        <w:shd w:val="clear" w:color="auto" w:fill="FFFFFF"/>
        <w:rPr>
          <w:rFonts w:ascii="Calibri" w:hAnsi="Calibri" w:cs="Calibri"/>
          <w:color w:val="201F1E"/>
          <w:sz w:val="22"/>
          <w:szCs w:val="22"/>
        </w:rPr>
      </w:pPr>
      <w:r>
        <w:rPr>
          <w:rFonts w:ascii="Calibri" w:hAnsi="Calibri" w:cs="Calibri"/>
          <w:color w:val="1F497D"/>
          <w:sz w:val="22"/>
          <w:szCs w:val="22"/>
        </w:rPr>
        <w:t>Tālr. 67036953</w:t>
      </w:r>
    </w:p>
    <w:p w:rsidR="006B27B8" w:rsidRDefault="006B27B8" w:rsidP="006B27B8">
      <w:pPr>
        <w:pStyle w:val="NormalWeb"/>
        <w:shd w:val="clear" w:color="auto" w:fill="FFFFFF"/>
        <w:rPr>
          <w:rFonts w:ascii="Calibri" w:hAnsi="Calibri" w:cs="Calibri"/>
          <w:color w:val="201F1E"/>
          <w:sz w:val="22"/>
          <w:szCs w:val="22"/>
        </w:rPr>
      </w:pPr>
      <w:r>
        <w:rPr>
          <w:rFonts w:ascii="Calibri" w:hAnsi="Calibri" w:cs="Calibri"/>
          <w:color w:val="1F497D"/>
          <w:sz w:val="22"/>
          <w:szCs w:val="22"/>
        </w:rPr>
        <w:t>Atrašanās vieta: Raiņa bulvārī 15, Rīgā, LV-1050.</w:t>
      </w:r>
    </w:p>
    <w:p w:rsidR="006B27B8" w:rsidRDefault="006B27B8" w:rsidP="006B27B8">
      <w:pPr>
        <w:pStyle w:val="NormalWeb"/>
        <w:shd w:val="clear" w:color="auto" w:fill="FFFFFF"/>
        <w:rPr>
          <w:rFonts w:ascii="Calibri" w:hAnsi="Calibri" w:cs="Calibri"/>
          <w:color w:val="201F1E"/>
          <w:sz w:val="22"/>
          <w:szCs w:val="22"/>
        </w:rPr>
      </w:pPr>
      <w:r>
        <w:rPr>
          <w:rFonts w:ascii="Calibri" w:hAnsi="Calibri" w:cs="Calibri"/>
          <w:color w:val="1F497D"/>
          <w:sz w:val="22"/>
          <w:szCs w:val="22"/>
        </w:rPr>
        <w:t>Juridiskā adrese: Brīvības bulvārī 36, Rīgā, LV-1536.</w:t>
      </w:r>
    </w:p>
    <w:p w:rsidR="006B27B8" w:rsidRDefault="006B27B8" w:rsidP="006B27B8">
      <w:pPr>
        <w:pStyle w:val="NormalWeb"/>
        <w:shd w:val="clear" w:color="auto" w:fill="FFFFFF"/>
        <w:rPr>
          <w:rFonts w:ascii="Calibri" w:hAnsi="Calibri" w:cs="Calibri"/>
          <w:color w:val="201F1E"/>
          <w:sz w:val="22"/>
          <w:szCs w:val="22"/>
        </w:rPr>
      </w:pPr>
      <w:r>
        <w:rPr>
          <w:rFonts w:ascii="Calibri" w:hAnsi="Calibri" w:cs="Calibri"/>
          <w:color w:val="1F497D"/>
          <w:sz w:val="22"/>
          <w:szCs w:val="22"/>
        </w:rPr>
        <w:t> </w:t>
      </w:r>
    </w:p>
    <w:p w:rsidR="006B27B8" w:rsidRDefault="006B27B8" w:rsidP="006B27B8">
      <w:pPr>
        <w:pStyle w:val="NormalWeb"/>
        <w:shd w:val="clear" w:color="auto" w:fill="FFFFFF"/>
        <w:rPr>
          <w:rFonts w:ascii="Calibri" w:hAnsi="Calibri" w:cs="Calibri"/>
          <w:color w:val="201F1E"/>
          <w:sz w:val="22"/>
          <w:szCs w:val="22"/>
        </w:rPr>
      </w:pPr>
      <w:r>
        <w:rPr>
          <w:rFonts w:ascii="Calibri" w:hAnsi="Calibri" w:cs="Calibri"/>
          <w:noProof/>
          <w:color w:val="1F497D"/>
          <w:sz w:val="22"/>
          <w:szCs w:val="22"/>
        </w:rPr>
        <w:drawing>
          <wp:inline distT="0" distB="0" distL="0" distR="0">
            <wp:extent cx="1257300" cy="990600"/>
            <wp:effectExtent l="0" t="0" r="0" b="0"/>
            <wp:docPr id="1" name="Picture 1" descr="cid:5a766259-5956-4edc-9856-c51e197f69d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d:5a766259-5956-4edc-9856-c51e197f69d6"/>
                    <pic:cNvPicPr>
                      <a:picLocks noChangeAspect="1" noChangeArrowheads="1"/>
                    </pic:cNvPicPr>
                  </pic:nvPicPr>
                  <pic:blipFill>
                    <a:blip r:embed="rId16" r:link="rId17">
                      <a:extLst>
                        <a:ext uri="{28A0092B-C50C-407E-A947-70E740481C1C}">
                          <a14:useLocalDpi xmlns:a14="http://schemas.microsoft.com/office/drawing/2010/main" val="0"/>
                        </a:ext>
                      </a:extLst>
                    </a:blip>
                    <a:srcRect/>
                    <a:stretch>
                      <a:fillRect/>
                    </a:stretch>
                  </pic:blipFill>
                  <pic:spPr bwMode="auto">
                    <a:xfrm>
                      <a:off x="0" y="0"/>
                      <a:ext cx="1257300" cy="990600"/>
                    </a:xfrm>
                    <a:prstGeom prst="rect">
                      <a:avLst/>
                    </a:prstGeom>
                    <a:noFill/>
                    <a:ln>
                      <a:noFill/>
                    </a:ln>
                  </pic:spPr>
                </pic:pic>
              </a:graphicData>
            </a:graphic>
          </wp:inline>
        </w:drawing>
      </w:r>
    </w:p>
    <w:p w:rsidR="006B27B8" w:rsidRDefault="006B27B8"/>
    <w:sectPr w:rsidR="006B27B8">
      <w:footerReference w:type="default" r:id="rId18"/>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94878" w:rsidRDefault="00594878" w:rsidP="00216EC8">
      <w:pPr>
        <w:spacing w:after="0" w:line="240" w:lineRule="auto"/>
      </w:pPr>
      <w:r>
        <w:separator/>
      </w:r>
    </w:p>
  </w:endnote>
  <w:endnote w:type="continuationSeparator" w:id="0">
    <w:p w:rsidR="00594878" w:rsidRDefault="00594878" w:rsidP="00216EC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BA"/>
    <w:family w:val="swiss"/>
    <w:pitch w:val="variable"/>
    <w:sig w:usb0="E0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70506758"/>
      <w:docPartObj>
        <w:docPartGallery w:val="Page Numbers (Bottom of Page)"/>
        <w:docPartUnique/>
      </w:docPartObj>
    </w:sdtPr>
    <w:sdtEndPr>
      <w:rPr>
        <w:noProof/>
      </w:rPr>
    </w:sdtEndPr>
    <w:sdtContent>
      <w:p w:rsidR="00216EC8" w:rsidRDefault="00216EC8">
        <w:pPr>
          <w:pStyle w:val="Footer"/>
          <w:jc w:val="right"/>
        </w:pPr>
        <w:r>
          <w:fldChar w:fldCharType="begin"/>
        </w:r>
        <w:r>
          <w:instrText xml:space="preserve"> PAGE   \* MERGEFORMAT </w:instrText>
        </w:r>
        <w:r>
          <w:fldChar w:fldCharType="separate"/>
        </w:r>
        <w:r>
          <w:rPr>
            <w:noProof/>
          </w:rPr>
          <w:t>1</w:t>
        </w:r>
        <w:r>
          <w:rPr>
            <w:noProof/>
          </w:rPr>
          <w:fldChar w:fldCharType="end"/>
        </w:r>
      </w:p>
    </w:sdtContent>
  </w:sdt>
  <w:p w:rsidR="00216EC8" w:rsidRDefault="00216EC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94878" w:rsidRDefault="00594878" w:rsidP="00216EC8">
      <w:pPr>
        <w:spacing w:after="0" w:line="240" w:lineRule="auto"/>
      </w:pPr>
      <w:r>
        <w:separator/>
      </w:r>
    </w:p>
  </w:footnote>
  <w:footnote w:type="continuationSeparator" w:id="0">
    <w:p w:rsidR="00594878" w:rsidRDefault="00594878" w:rsidP="00216EC8">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B27B8"/>
    <w:rsid w:val="00216EC8"/>
    <w:rsid w:val="00594878"/>
    <w:rsid w:val="006B27B8"/>
    <w:rsid w:val="009F3A8E"/>
    <w:rsid w:val="00B6266D"/>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F78E43A-E4F5-4BEE-8393-DEA6E7A07D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B27B8"/>
    <w:rPr>
      <w:color w:val="0563C1" w:themeColor="hyperlink"/>
      <w:u w:val="single"/>
    </w:rPr>
  </w:style>
  <w:style w:type="paragraph" w:styleId="NormalWeb">
    <w:name w:val="Normal (Web)"/>
    <w:basedOn w:val="Normal"/>
    <w:uiPriority w:val="99"/>
    <w:semiHidden/>
    <w:unhideWhenUsed/>
    <w:rsid w:val="006B27B8"/>
    <w:pPr>
      <w:spacing w:after="0" w:line="240" w:lineRule="auto"/>
    </w:pPr>
    <w:rPr>
      <w:rFonts w:ascii="Times New Roman" w:hAnsi="Times New Roman" w:cs="Times New Roman"/>
      <w:sz w:val="24"/>
      <w:szCs w:val="24"/>
      <w:lang w:eastAsia="lv-LV"/>
    </w:rPr>
  </w:style>
  <w:style w:type="paragraph" w:styleId="Header">
    <w:name w:val="header"/>
    <w:basedOn w:val="Normal"/>
    <w:link w:val="HeaderChar"/>
    <w:uiPriority w:val="99"/>
    <w:unhideWhenUsed/>
    <w:rsid w:val="00216EC8"/>
    <w:pPr>
      <w:tabs>
        <w:tab w:val="center" w:pos="4153"/>
        <w:tab w:val="right" w:pos="8306"/>
      </w:tabs>
      <w:spacing w:after="0" w:line="240" w:lineRule="auto"/>
    </w:pPr>
  </w:style>
  <w:style w:type="character" w:customStyle="1" w:styleId="HeaderChar">
    <w:name w:val="Header Char"/>
    <w:basedOn w:val="DefaultParagraphFont"/>
    <w:link w:val="Header"/>
    <w:uiPriority w:val="99"/>
    <w:rsid w:val="00216EC8"/>
  </w:style>
  <w:style w:type="paragraph" w:styleId="Footer">
    <w:name w:val="footer"/>
    <w:basedOn w:val="Normal"/>
    <w:link w:val="FooterChar"/>
    <w:uiPriority w:val="99"/>
    <w:unhideWhenUsed/>
    <w:rsid w:val="00216EC8"/>
    <w:pPr>
      <w:tabs>
        <w:tab w:val="center" w:pos="4153"/>
        <w:tab w:val="right" w:pos="8306"/>
      </w:tabs>
      <w:spacing w:after="0" w:line="240" w:lineRule="auto"/>
    </w:pPr>
  </w:style>
  <w:style w:type="character" w:customStyle="1" w:styleId="FooterChar">
    <w:name w:val="Footer Char"/>
    <w:basedOn w:val="DefaultParagraphFont"/>
    <w:link w:val="Footer"/>
    <w:uiPriority w:val="99"/>
    <w:rsid w:val="00216EC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625376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asts@fm.gov.lv" TargetMode="External"/><Relationship Id="rId13" Type="http://schemas.openxmlformats.org/officeDocument/2006/relationships/hyperlink" Target="mailto:Gita.Daukste@tm.gov.lv" TargetMode="External"/><Relationship Id="rId1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yperlink" Target="mailto:aivis.hammers@fm.gov.lv" TargetMode="External"/><Relationship Id="rId12" Type="http://schemas.openxmlformats.org/officeDocument/2006/relationships/hyperlink" Target="mailto:Andra.Reinfelde@TM.GOV.LV" TargetMode="External"/><Relationship Id="rId17" Type="http://schemas.openxmlformats.org/officeDocument/2006/relationships/image" Target="cid:5a766259-5956-4edc-9856-c51e197f69d6" TargetMode="External"/><Relationship Id="rId2" Type="http://schemas.openxmlformats.org/officeDocument/2006/relationships/settings" Target="settings.xml"/><Relationship Id="rId16" Type="http://schemas.openxmlformats.org/officeDocument/2006/relationships/image" Target="media/image1.png"/><Relationship Id="rId20"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mailto:Anita.Cehanovica@tm.gov.lv" TargetMode="External"/><Relationship Id="rId11" Type="http://schemas.openxmlformats.org/officeDocument/2006/relationships/hyperlink" Target="mailto:Sandis.Vilcans@tm.gov.lv" TargetMode="External"/><Relationship Id="rId5" Type="http://schemas.openxmlformats.org/officeDocument/2006/relationships/endnotes" Target="endnotes.xml"/><Relationship Id="rId15" Type="http://schemas.openxmlformats.org/officeDocument/2006/relationships/hyperlink" Target="mailto:egita.skibele@fm.gov.lv" TargetMode="External"/><Relationship Id="rId10" Type="http://schemas.openxmlformats.org/officeDocument/2006/relationships/hyperlink" Target="mailto:Juta.Kupe@tm.gov.lv" TargetMode="External"/><Relationship Id="rId19"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yperlink" Target="mailto:pasts@tm.gov.lv" TargetMode="External"/><Relationship Id="rId14" Type="http://schemas.openxmlformats.org/officeDocument/2006/relationships/hyperlink" Target="mailto:Baiba.Lielkalne@TM.GOV.L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3</Pages>
  <Words>5696</Words>
  <Characters>3247</Characters>
  <Application>Microsoft Office Word</Application>
  <DocSecurity>0</DocSecurity>
  <Lines>27</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Aivis Hammers</dc:creator>
  <cp:keywords/>
  <dc:description/>
  <cp:lastModifiedBy>Aivis Hammers</cp:lastModifiedBy>
  <cp:revision>3</cp:revision>
  <dcterms:created xsi:type="dcterms:W3CDTF">2021-07-28T09:07:00Z</dcterms:created>
  <dcterms:modified xsi:type="dcterms:W3CDTF">2021-08-15T18:55:00Z</dcterms:modified>
</cp:coreProperties>
</file>