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vēsturisko kūdras purvu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terminu - esošās un jaunās uzņēmējdarbības attīstības teritorijas. Vai tās ir pašvaldības teritorijas plānojumā iezīmētās teritorijas, kurās tiek paredzēta uzņēmējdarbība, vai kā savādāk noteiktas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skaidrot, kā tiks organizēta teritoriju atlase un iekļaušana plānošanas reģiona attīstības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līdz 2029.gada 31.decembrim sasniedz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par nepieciešamo attālumu starp veiktajām investīcijām infrastruktūrā un komersantu atrašanās vietu/-ām, lai varētu attiecināt 10.punktā minēto rādītāju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Pirmajā atlases kārtā vienas pašvaldības ietvaros iesniedz ne vairāk kā divus projekta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21. punktā noteiktais ierobežojums attiecas uz vienu pašvaldību, skaitot pa visiem iespējamajiem projekta iesniedzējiem kopā (pašvaldība, pašvaldības izveidota iestāde, speciālās ekonomiskās zonas pārvalde, pašvaldības kapitālsabiedrība, publiski privātā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vienmērīgāku reģionālo iedalījumu un apvienotu teritorijas ar līdzīgu problemātiku un izaicinājumiem 2021.gada 22.jūnijā stājās spēkā Ministru kabineta noteikumi Nr. 418 “Noteikumi par plānošanas reģionu teritorijām”, kas paredz Limbažu novada un Ogres novada (līdz šim tie ietilpa Rīgas plānošanas reģionā) pievienošanu Vidzemes plānošanas reģionam, bet Tukuma novada iekļaušanu Kurzemes plānošanas reģionā (līdz 2021.gadam Tukuma novads ietilpa Rīgas plānošanas reģionā). Lūdzam precizēt Taisnīgas pārkārtošanās teritoriālajā plānā atbalstāmās pašvaldības pēc patreiz spēkā esošā Statistiski teritoriālo vienību nomenklatūras klasifikācijas.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tādu inženiertehnisko sistēmu un iekārtu iegāde un uzstādīšana, kas uzkrāj vai ražo enerģiju no atjaunojamiem energoresursiem (ievērojot nosacījumu par saražotās enerģijas izmantošanu projekta ietvaros attīstītajā vai labiekārtotajā teritorijā). Šajā apakšpunktā minētās izmaksas nepārsniedz 50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projekta 31.1.8. apakšpunktu ar iespēju saražoto enerģiju izmantot ne tikai projekta ietvaros attīstītajā vai labiekārtotajā teritorijā, bet arī potenciāli izveidojamā energokopienā (ja enerģijas ražotājs tādā piedalītos).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šo attālumu palielināt  uz vismaz 400-500 metriem. Reģionos pilsētu centri nav teritoriāli lieli un aktuālais satiksmes regulējums, kurā ir daudz vienvirziena ielu un sarežģīts ielu tīkls, liek uzņēmējiem mest satiksmes lokus, lai piekļūtu savām saimnieciskās darbības vietām. Lielāks radiuss pašvaldībām ļautu pie sasniedzamajiem rādītājiem uzrādīt vairāk uzņēmēju, kas gūst labumu.  Pie esošā formulējuma iznāk, ka faktiski uzņēmēji labumu gūst, bet pašvaldība nevarēs iekļaut šos uzņēmējus, jo tie atrodas pavisam dažus desmitus metru tālāk no projekta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31.3.4. “zaļās salas”, “zaļie koridori” pie intensīvas satiksmes tīkliem;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ko nozīmē  “zaļās salas” un “zaļie koridori”.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tiks izstrādāti skaidrojumi un/vai metodiskie materiāli par attiecīgo horizontālo principu ieviešanu, ieviešanas uzraudzību un datu uzkrāšanu attiecībā uz 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ar ko izveido NACE 2.red. saimniecisko darbību statistisko klasifikāciju, kā arī groza Padomes Regulu (EEK) Nr.3037/90 un dažas EK regulas par īpašām statistikas jomām (Eiropas Savienības Oficiālais Vēstnesis, 2006.gada 30.decembris, Nr. L 393)) komersanta pamatdarbībā (nepārsniedz 50 procentus no neto apgrozījuma) projekta īstenošanas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paudušas, ka patreiz daudz uzņēmēju dēļ NACE kodu neatbilstības nevar ietvert projektā, tādēļ ir jautājums vai pastāv iespēja šajā kritērijā paplašināt nozares.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11.04.2023.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11.04.2023.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