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sadaļu ar atsauci uz Eiropas Savienības struktūrfondu un Kohēzijas fonda 2014.–2020. gada plānošanas perioda vadības likuma 20.panta 6. un 9.punktu, ņemot vērā deliģējumu uz kura pamata izdoti Ministru kabineta 2016. gada 14. jūnija noteikumi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sadalījumu pa avotiem, ņemot vērā, ka 13.1.6. pasākumā ERAF finansējums ir 84,2371%, bet valsts budžets- 15,7629%.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sniegta informācija par valsts budžeta finansējuma pārdali 225 000 euro apmērā, savukārt noteikumu projekts paredz samazināt 13.1.6. specifiskā atbalsta mērķim pieejamo valsts budžeta finansējumu 88 144 euro apmērā, attiecīgi lūdzam veikt precizējumus un novērst minēto nesakritību. Vienlaikus lūdzam kā n gadu norādīt 2023.gadu, attiecīgi projekta ietekmi uz budžetu atspoguļojot korektajā ailē, 5.1. apakšpunktā norādot precizēto finansiālo ietekmi un precizējot sniegto informāciju 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ka 1 500 000 euro ir 13.1.6. SAM vai REACT-EU finansējuma atlikums, kas tiek pārdalīts uz 13.1.1.3.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kas nosaka, ka Latvijas Investīciju un attīstības aģentūrai ne vēlāk kā divu nedēļu laikā pēc noteikumu projekta spēkā stāšanās ir jāiesniedz Centrālai finanšu un līgumu aģentūrai noslēgtās vienošanās Nr. 1.2.2.3/16/I/003 grozījumus, samazinot 13.1.6. SAM finansējumu par 1 500 000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sadalījumu pa avotiem, ņemot vērā, ka 13.1.6. pasākumā ERAF finansējums ir 84,2371%, bet valsts budžets- 15,7629%.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grozījumiem 3.2.1.2. pasākuma "Starptautiskās konkurētspējas veicināšana" MK noteikumos, pārdalāmā summa 1 500 000 euro sadalās šādi: fonda finansējums 1 263 557 euro, valsts budžeta finansējums 236 443 euro. Savukārt šajā noteikumu projektā pārdalāmā summa atšķiras no augstāk minētajiem grozījumiem, proti, fondu finansējums 1 411 856 euro, valsts budžeta finansējums 88 144 euro. Lūdzam salāgot abus MK noteikumu projektus, ievērojot apstiprināto React-EU finansējuma un valsts budžeta proporciju.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5 650 000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summas atbilstoši finansējuma samazinājumam MKN 9.1.(prim)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anotācijas 1. sadaļā "Tiesību akta projekta izstrādes nepieciešamība" 1.1. punkta "Pamatojums" "Apraksts" lietoto saīsinājumu "EM" un turpmākajā tekstā aizstāt vārdus "Ekonomikas ministrija" ar saīsinājumu "EM" un atrunāt Anotācijas 1. sadaļā "Tiesību akta projekta izstrādes nepieciešamība" 1.3. punktu "Pašreizējā situācija, problēmas un risinājumi" "Pašreizējā situācija" otrajā rindkopā lietotos saīsinājumus "KPVIS" un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3. sadaļas "Tiesību akta projekta ietekme uz valsts budžetu un pašvaldību budžetiem" 6. punktā  summai 1 500 000 atbilstošu valūtas pierakstu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teikumu, kas nosaka, ka noteikumu projekts paredz tehniskus precizējumus attiecībā uz 13.1.6. SAM rādītājiem, norādot arī  rādītāju </w:t>
            </w:r>
            <w:r w:rsidR="00000000" w:rsidRPr="00000000" w:rsidDel="00000000">
              <w:rPr>
                <w:i w:val="1"/>
                <w:rtl w:val="0"/>
              </w:rPr>
              <w:t xml:space="preserve">"personu skaits, kuras saņem nefinansiālu atbalstu, – 488;"</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finansējuma pārdale, ko paredz šis MK noteikumu projekts ir iespējama, ja paralēli tiks apstiprināti grozījumi 3.2.1.2. pasākuma MK noteikumos. Grozījumi 3.2.1.2. pasākumā, cita starpā, paredz izmaiņas, kas jāskaņo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22-TA-3779</w:t>
    </w:r>
    <w:r>
      <w:br/>
    </w:r>
    <w:r w:rsidR="00000000" w:rsidRPr="00000000" w:rsidDel="00000000">
      <w:rPr>
        <w:rtl w:val="0"/>
      </w:rPr>
      <w:t xml:space="preserve">Izdrukāts 13.01.2023.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22-TA-3779</w:t>
    </w:r>
    <w:r>
      <w:br/>
    </w:r>
    <w:r w:rsidR="00000000" w:rsidRPr="00000000" w:rsidDel="00000000">
      <w:rPr>
        <w:rtl w:val="0"/>
      </w:rPr>
      <w:t xml:space="preserve">Izdrukāts 13.01.2023.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Atzinumi_22-TA-3779.docx</dc:title>
</cp:coreProperties>
</file>

<file path=docProps/custom.xml><?xml version="1.0" encoding="utf-8"?>
<Properties xmlns="http://schemas.openxmlformats.org/officeDocument/2006/custom-properties" xmlns:vt="http://schemas.openxmlformats.org/officeDocument/2006/docPropsVTypes"/>
</file>