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norādīts_ "Paredzēts, ka minētā komunikācijas stratēģijas īstenošanas risinājuma realizēšanai uz 4.3.6.1. pasākuma projekta īstenošanas laiku tiks piesaistīti papildu divi sabiedrisko attiecību speciālisti (veidojot jaunas amata vietas (indikatīvi 26. amatu saimes “Komunikācija” III līmenis) uz pilnu slodzi, indikatīvi uz 45 mēnešiem un precīzi tās klasificējot 4.3.6.1. pasākuma projekta grozījumu izstrādes laikā). ". Lūdzam precizēt sabiedrisko attiecību speciālistiem norādīto amatu klasifikāciju, ievērojot Valsts kancelejas izstrādātos kritērijus amatu klasificēšanai projektos, kas pieejami Valsts kancelejas tīmekļvietnē:  https://www.mk.gov.lv/lv/amatu-klasifikacijas-process.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28.04.2026.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28.04.2026.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Atzinumi_26-TA-847.docx</dc:title>
</cp:coreProperties>
</file>

<file path=docProps/custom.xml><?xml version="1.0" encoding="utf-8"?>
<Properties xmlns="http://schemas.openxmlformats.org/officeDocument/2006/custom-properties" xmlns:vt="http://schemas.openxmlformats.org/officeDocument/2006/docPropsVTypes"/>
</file>