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Dienests ir tiesīgs pieprasīt finanšu nodrošinājuma atlīdzību pilnā vai daļējā apmērā, lai segtu izdevumus gadījumos,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redakciju ir nepieciešams papildināt, jo noteikumu projekta 58.4 2. punkts noteic darbības, kas attiecas uz pabeigšanu. Norādām, ka pastāv gadījumi, kad noteiktu apstākļu rezultātā ir nepieciešams pārtraukt derīgo izrakteņu ieguvi, nevis pabeigt. Vienlaikus norādām, ka konservācijas prasības derīgo izrakteņu ieguves procesā šobrīd tiek izvērsti integrētas Ministru kabineta noteikumos Nr. 570 “Derīgo izrakteņu ieguves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ieguves vietā  jāveic konservācija, ja ieguve ir pārtraukta, nevis pabeigta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Priedīte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līdz 2026. gada 31. decembrim jāsasniedz sertificēta vērtētāja noteiktā zemesgabala tirgus nomas maksa.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nosaka tā, lai nomas maksas pieaugums būtu proporcionāls atlikušajam termiņam, līdz kuram nomas maksai jāsasniedz sertificēta vērtētāja noteiktā tirgus nomas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(grozījumu) projekta 64. punkta redakciju, norādot, ka nomas līgumos, kuros indeksācijas rezultātā nav sasniegta tirgus nomas maksa, nomas maksa tiek  pārskatīta atbilstoši Publiskas personas finanšu līdzekļu un mantas izšķērdēšanas likumā noteiktajā kārtībā. Priekšlikums noteikt trīs gadus, ieskaitot kārtējo gadu, par kuru aprēķināta nomas maksa. LVM nomas maksu nosaka un attiecina uz gadu, sadalot to pa ceturkšņiem. Līdz ar to, lai nepārprotami, ir skaidrs, ka trīs gadu periods ir attiecīgi viss periods, par kuru ir jāmaksā nomas maksa, nevis diena, uz kuru ir aprēķināta nomas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līgumi zemes dzīļu izmantošanai, kuros nomas maksa indeksācijas rezultātā nav sasniegusi zemes tirgus nomas maksas novērtējumos noteikto nomas maksu, ņemot vērā Publiskas personas finanšu līdzekļu un mantas izšķērdēšanas novēršanas likuma 6.(11) pantu, ja ir iestājies noteiktais termiņš, veikt nomas maksas pārskatīšanu. Pārskatīto nomas maksu piemēro, lai nomas maksas pieaugums būtu proporcionāls atlikušajam termiņam un trīs gadu periodā, ieskaitot kārtējo gadu, par kuru aprēķināta nomas maksa, tiktu sasniegts pārskatīšanas rezultātā noteiktais nomas 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Priedīte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15.11.2023.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15.11.2023.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