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14</w:t>
            </w:r>
            <w:r w:rsidR="00000000" w:rsidRPr="00000000" w:rsidDel="00000000">
              <w:rPr>
                <w:rtl w:val="0"/>
              </w:rPr>
              <w:t xml:space="preserve">6. pētniecisko telpu (laboratoriju) nomas izmantošanas izmaksas un komunālie maksājumi līdz 5 000 </w:t>
            </w:r>
            <w:r w:rsidR="00000000" w:rsidRPr="00000000" w:rsidDel="00000000">
              <w:rPr>
                <w:i w:val="1"/>
                <w:rtl w:val="0"/>
              </w:rPr>
              <w:t xml:space="preserve">euro </w:t>
            </w:r>
            <w:r w:rsidR="00000000" w:rsidRPr="00000000" w:rsidDel="00000000">
              <w:rPr>
                <w:rtl w:val="0"/>
              </w:rPr>
              <w:t xml:space="preserve">mēnesī.</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piedāvātās izmaiņas 61.</w:t>
            </w:r>
            <w:r w:rsidR="00000000" w:rsidRPr="00000000" w:rsidDel="00000000">
              <w:rPr>
                <w:vertAlign w:val="superscript"/>
                <w:rtl w:val="0"/>
              </w:rPr>
              <w:t xml:space="preserve">14</w:t>
            </w:r>
            <w:r w:rsidR="00000000" w:rsidRPr="00000000" w:rsidDel="00000000">
              <w:rPr>
                <w:rtl w:val="0"/>
              </w:rPr>
              <w:t xml:space="preserve">6. un 61.</w:t>
            </w:r>
            <w:r w:rsidR="00000000" w:rsidRPr="00000000" w:rsidDel="00000000">
              <w:rPr>
                <w:vertAlign w:val="superscript"/>
                <w:rtl w:val="0"/>
              </w:rPr>
              <w:t xml:space="preserve">14</w:t>
            </w:r>
            <w:r w:rsidR="00000000" w:rsidRPr="00000000" w:rsidDel="00000000">
              <w:rPr>
                <w:rtl w:val="0"/>
              </w:rPr>
              <w:t xml:space="preserve">5. apakšpunktā vai papildināt anotāciju. Vēršam uzmanību, ka saskaņā ar Finanšu ministrijas 09.06.2025. vadlīnijām Nr. 1.2. “Vadlīnijas attiecināmo izmaksu noteikšanai Eiropas savienības kohēzijas politikas programmas 2021.–2027. gada plānošanas periodā”, </w:t>
            </w:r>
            <w:r w:rsidR="00000000" w:rsidRPr="00000000" w:rsidDel="00000000">
              <w:rPr>
                <w:b w:val="1"/>
                <w:rtl w:val="0"/>
              </w:rPr>
              <w:t xml:space="preserve">nomas un komunālo maksājumu izmaksas ir netiešās izmaksas</w:t>
            </w:r>
            <w:r w:rsidR="00000000" w:rsidRPr="00000000" w:rsidDel="00000000">
              <w:rPr>
                <w:rtl w:val="0"/>
              </w:rPr>
              <w:t xml:space="preserve">. Netiešās attiecināmās izmaksas var paredzēt/attiecināt kā tiešās attiecināmās izmaksas, ja tam ir sniegts argumentēts pamatojums un ir pamatota izmaksu tieša sasaiste ar projekta mērķi, ir izvērtēta samērīguma, lietderības, vienotas pieejas un labas finanšu pārvaldības principa ievērošana un tiešo/netiešo izmaksu būtība. Lūdzam papildināt anotāciju ar argumentētu pamatojumu piedāvātajām izmaiņām, t.sk. limitam, kas ir noteikts līdz 5 000 euro mēnesī.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sadaļā "Risinājuma apraksts" 2) punktā  minētais kontekstā ar MK noteikumu 2.17.apakšpunktu (zinātņitilpīgi jaunuzņēmumi) nav saistāms ar tālāk minēto, ka “Pašreizējais regulējums ierobežo atbalsta saņēmēju loku, proti, atbalstu nevar saņemt tādi jaunuzņēmumi, kas sadarbojas ar zinātniskajām institūcijām ārpus Latvijas, tostarp, tādām pētniecības organizācijām, kas reģistrētas Eiropas Savienības dalībvalstī, Eiropas Ekonomikas zonas valstī vai Šveices Konfederācijā, vai attiecīgās valsts pētniecības organizāciju reģistrā. vai komercsabiedrība, organizācija vai institūcija, kuras dibināšanas dokumentos (statūtos) ir norāde, ka tā veic zinātnisko un pētniecisko darbību”, jo pēdējais ir skaidrojums par MK noteikumu 41.3.apakšpunkta grozījumiem (vaučeru atbalsta nosacījumi). Lūdzam viennozīmīgai izpratnei anotācijā skaidrojumus par dažādu normu un atbalsta sadaļu grozījumiem izdalīt atsevišķos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gala labuma guvējs – Latvijas Republikas komercreģistrā reģistrēts komersants, kā arī ārvalsts komersanta filiāle Latvijā, kas atbilst sīkā (mikro), mazā un vidējā komersanta statusam saskaņā ar Komisijas regulas Nr. </w:t>
            </w:r>
            <w:r w:rsidR="00000000" w:rsidRPr="00000000" w:rsidDel="00000000">
              <w:rPr>
                <w:rtl w:val="0"/>
              </w:rPr>
              <w:t xml:space="preserve">651/2014</w:t>
            </w:r>
            <w:r w:rsidR="00000000" w:rsidRPr="00000000" w:rsidDel="00000000">
              <w:rPr>
                <w:rtl w:val="0"/>
              </w:rPr>
              <w:t xml:space="preserve"> 2. panta 2. punktu, mazas vidējas kapitalizācijas sabiedrības saskaņā ar Eiropas Parlamenta un Padomes 2015. gada 25. jūnija Regulas (ES) </w:t>
            </w:r>
            <w:r w:rsidR="00000000" w:rsidRPr="00000000" w:rsidDel="00000000">
              <w:rPr>
                <w:rtl w:val="0"/>
              </w:rPr>
              <w:t xml:space="preserve">2015/1017</w:t>
            </w:r>
            <w:r w:rsidR="00000000" w:rsidRPr="00000000" w:rsidDel="00000000">
              <w:rPr>
                <w:rtl w:val="0"/>
              </w:rPr>
              <w:t xml:space="preserve"> par Eiropas Stratēģisko investīciju fondu, Eiropas Investīciju konsultāciju centru un Eiropas Investīciju projektu portālu, ar ko groza Regulas (ES) Nr. 1291/2013 un (ES) Nr. 1316/2013 – Eiropas Stratēģisko investīciju fonds (turpmāk – regula Nr. </w:t>
            </w:r>
            <w:r w:rsidR="00000000" w:rsidRPr="00000000" w:rsidDel="00000000">
              <w:rPr>
                <w:rtl w:val="0"/>
              </w:rPr>
              <w:t xml:space="preserve">2015/1017</w:t>
            </w:r>
            <w:r w:rsidR="00000000" w:rsidRPr="00000000" w:rsidDel="00000000">
              <w:rPr>
                <w:rtl w:val="0"/>
              </w:rPr>
              <w:t xml:space="preserve">), 2. pantu, kā arī vidējas kapitalizācijas sabiedrības saskaņā ar regulas Nr. </w:t>
            </w:r>
            <w:r w:rsidR="00000000" w:rsidRPr="00000000" w:rsidDel="00000000">
              <w:rPr>
                <w:rtl w:val="0"/>
              </w:rPr>
              <w:t xml:space="preserve">2015/1017</w:t>
            </w:r>
            <w:r w:rsidR="00000000" w:rsidRPr="00000000" w:rsidDel="00000000">
              <w:rPr>
                <w:rtl w:val="0"/>
              </w:rPr>
              <w:t xml:space="preserve"> 2. pantu un komersanti, kas atbilst lielā komersanta statusam saskaņā ar Komisijas regulas Nr. </w:t>
            </w:r>
            <w:r w:rsidR="00000000" w:rsidRPr="00000000" w:rsidDel="00000000">
              <w:rPr>
                <w:rtl w:val="0"/>
              </w:rPr>
              <w:t xml:space="preserve">651/2014</w:t>
            </w:r>
            <w:r w:rsidR="00000000" w:rsidRPr="00000000" w:rsidDel="00000000">
              <w:rPr>
                <w:rtl w:val="0"/>
              </w:rPr>
              <w:t xml:space="preserve"> 2. panta 24. punktu ar nosacījumu, vai zinātniskā institūcija. Vidējas kapitalizācijas sabiedrības un lielie komersanti var saņemt atbalstu, ja tie sadarbojas ar sīkajiem (mikro), mazajiem vai vidējiem komersantiem pētniecības un inovācijas aktivitātēs. Ārvalsts komersanta filiāle Latvijā var saņemt atbalstu, ja tā veic komercdarbību Latvijā un ārvalsts komersanta kapitāla daļu īpašnieks, kuram pieder vismaz 50% kapitāla daļu, ir fiziska persona, kas ir Latvijas Republikas valsts piederīgais, vai Latvijas Republikā reģistrēta juridiska persona;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iestrādājot izmaiņas šajā punkta normā, ir pazudusi normas punkta redakcija attiecībā uz nosacījumu vidējām kapitalizācijas sabiedrībām un lielajiem komersantiem. Tādējādi lūdzam minēto regulējumu pārskatīt un, ja nepieciešamas atjaunot. Vienlaicīgi, lai mazinātu interpretācijas iespējas attiecībā uz tiesību normas pēdējo teikumu attiecībā uz nosacījumiem ārvalstu filiālēm, aicinām izvērtēt to izteikt Finanšu ministrijas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gala labuma guvējs – Latvijas Republikas komercreģistrā reģistrēts komersants,  kā arī ārvalsts komersanta filiāle Latvijā, kas atbilst sīkā (mikro), mazā un vidējā komersanta statusam saskaņā ar Komisijas regulas Nr. 651/2014 2. panta 2. punktu, mazas vidējas kapitalizācijas sabiedrības saskaņā ar Eiropas Parlamenta un Padomes 2015. gada 25. jūnija Regulas (ES) 2015/1017 par Eiropas Stratēģisko investīciju fondu, Eiropas Investīciju konsultāciju centru un Eiropas Investīciju projektu portālu, ar ko groza Regulas (ES) Nr. 1291/2013 un (ES) Nr. 1316/2013 – Eiropas Stratēģisko investīciju fonds (turpmāk – regula Nr. 2015/1017), 2. pantu, kā arī vidējas kapitalizācijas sabiedrības saskaņā ar regulas Nr. 2015/1017 2. pantu un komersanti, kas atbilst lielā komersanta statusam saskaņā ar Komisijas regulas Nr. 651/2014 2. panta 24. punktu ar nosacījumu, k</w:t>
            </w:r>
            <w:r w:rsidR="00000000" w:rsidRPr="00000000" w:rsidDel="00000000">
              <w:rPr>
                <w:u w:val="single"/>
                <w:rtl w:val="0"/>
              </w:rPr>
              <w:t xml:space="preserve">a tie sadarbojas ar sīkajiem (mikro), mazajiem vai vidējiem komersantiem pētniecības un inovācijas aktivitātēs</w:t>
            </w:r>
            <w:r w:rsidR="00000000" w:rsidRPr="00000000" w:rsidDel="00000000">
              <w:rPr>
                <w:rtl w:val="0"/>
              </w:rPr>
              <w:t xml:space="preserve">, vai zinātniskā institūcija. </w:t>
            </w:r>
            <w:r w:rsidR="00000000" w:rsidRPr="00000000" w:rsidDel="00000000">
              <w:rPr>
                <w:rtl w:val="0"/>
              </w:rPr>
              <w:t xml:space="preserve">Ārvalsts komersanta filiāle Latvijā var saņemt atbalstu, ja tā veic komercdarbību Latvijas Republikā un ja ārvalsts komersanta kapitālu daļu īpašnieks, kuram pieder vismaz 50 procenti kapitāla daļu, ir vai nu fiziska persona — Latvijas Republikas valsts piederīgais, vai Latvijas Republikā reģistrēta juridiska persona;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komercsabiedrība, organizācija vai institūcija, kuras dibināšanas dokumentos (statūtos) ir norāde, ka tā veic zinātnisko vai pētniecisko darbību.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šo punktu papildināt ar nosacījumu par pētniecības un attīstības personāla/komandas eksistenci augstāk uzskaitītājās organizācijās, ņemot vērā to, ka komercsabiedrība savos statūtos var viegli norādīt jebkuru no NACE klasifikatora darbībām, ka arī šī punkta normas iestaros nav atbalstāmas organizācijas, kas pašas neveic pētniecību, bet, piemēram, to piedāvā ārpakalpojumā.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25-TA-2372</w:t>
    </w:r>
    <w:r>
      <w:br/>
    </w:r>
    <w:r w:rsidR="00000000" w:rsidRPr="00000000" w:rsidDel="00000000">
      <w:rPr>
        <w:rtl w:val="0"/>
      </w:rPr>
      <w:t xml:space="preserve">Izdrukāts 02.04.2026. 13.07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25-TA-2372</w:t>
    </w:r>
    <w:r>
      <w:br/>
    </w:r>
    <w:r w:rsidR="00000000" w:rsidRPr="00000000" w:rsidDel="00000000">
      <w:rPr>
        <w:rtl w:val="0"/>
      </w:rPr>
      <w:t xml:space="preserve">Izdrukāts 02.04.2026. 13.07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Atzinumi_25-TA-2372.docx</dc:title>
</cp:coreProperties>
</file>

<file path=docProps/custom.xml><?xml version="1.0" encoding="utf-8"?>
<Properties xmlns="http://schemas.openxmlformats.org/officeDocument/2006/custom-properties" xmlns:vt="http://schemas.openxmlformats.org/officeDocument/2006/docPropsVTypes"/>
</file>