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sistēmā uzkrātos personificētos datus glabā atbilstoši to izmantošanas mērķim. Datus, kuru apstrādes mērķis ir sasniegts vai zudis, anonimizē un uzglabā informācijas sistēmas datu arhīvā. Pēc 10 gadiem ieraksts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22. punktā noteiktais  datu glabāšanas termiņš neatbilst Vispārīgās datu aizsardzības regulas nostiprinātajiem godprātības un pārredzamības principiem, jo tas nenodrošina datu subjektam skaidru un saprotamu informāciju par to, cik ilgi viņa personas dati tiks glabāti. Ņemot vērā iepriekš minēto, lūdzam izvērtēt, kāds ir nepieciešamais datu glabāšanas termiņš attiecīgā nolūka sasniegšanai, un precīzi noteikt personas datu glabāšanas ilgumu līdz to anonimizācijai.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30.10.2025.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30.10.2025.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Atzinumi_25-TA-1686.docx</dc:title>
</cp:coreProperties>
</file>

<file path=docProps/custom.xml><?xml version="1.0" encoding="utf-8"?>
<Properties xmlns="http://schemas.openxmlformats.org/officeDocument/2006/custom-properties" xmlns:vt="http://schemas.openxmlformats.org/officeDocument/2006/docPropsVTypes"/>
</file>