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projekta tālākai virzībai, vienlaikus vēršam uzmanību, ka saskaņā ar Likuma par budžetu un finanšu vadību 46.pantu budžeta finansētu institūciju vadītāji ir atbildīgi par šajā likumā noteiktās kārtības un prasību ievērošanu, izpildi un kontroli, kā arī par budžeta līdzekļu efektīvu un ekonomisku izlietošanu atbilstoši paredzētajiem mērķiem. Tādējādi Ekonomikas ministrija ir atbildīga par Possessor piešķirto valsts budžeta līdzekļu efektīvu izlietošanu, nodrošinot uzraudzību un ievērojot Publiskas personas finanšu līdzekļu un mantas izšķērdēšanas novēršanas likuma noteiktās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1.3.sadaļa sniegtajai informācijai secinām, ka Possessor administratīvās izmaksas deleģētā Valsts pārvaldes uzdevuma ietvaros 2026. gadā, salīdzinot ar 2025.gadu, ir pieaugušas par 103 511 euro jeb 19 procentiem. Attiecīgi lūdzam anotācijā iekļaut skaidrojumu, kas pamato izdevumu palielinājumu minētajā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03.07.2026.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03.07.2026.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Atzinumi_26-TA-871.docx</dc:title>
</cp:coreProperties>
</file>

<file path=docProps/custom.xml><?xml version="1.0" encoding="utf-8"?>
<Properties xmlns="http://schemas.openxmlformats.org/officeDocument/2006/custom-properties" xmlns:vt="http://schemas.openxmlformats.org/officeDocument/2006/docPropsVTypes"/>
</file>