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ilgtspējīgas enerģijas tehnoloģiju attīstības ietvars līdz 2035.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1.6. aktivitāti joprojām norādām, ka neatbalstām paātrināto kārtību normatīvā regulējuma grozījumu izskatīšanai attiecībā uz rūpniecības un tehnoloģisko attīstību, ņemot vērā, ka šāda procesa rezultātā iespējams palaist garām būtiskus aspektus kvalitatīva normatīvā regulējuma izstrādei un attiecīgi ietekmētu arī ieguldītās, plānotās vai pieejamās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aktivitātē, joprojām aicinām skaidrot ar kādu kapacitāti tiks nodrošināta individuāla pieeja liela mēroga neto nulles emisiju tehnoloģiju ražošanas investīciju projektu jeb vadošo projektu (angļu val. flagship projects) izvietošanai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06.08.2025.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06.08.2025.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Atzinumi_25-TA-1058.docx</dc:title>
</cp:coreProperties>
</file>

<file path=docProps/custom.xml><?xml version="1.0" encoding="utf-8"?>
<Properties xmlns="http://schemas.openxmlformats.org/officeDocument/2006/custom-properties" xmlns:vt="http://schemas.openxmlformats.org/officeDocument/2006/docPropsVTypes"/>
</file>