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3.sadaļas "Pasākumi mērķa sasniegšanai" attīstības jomas “Telekomunikāciju pakalpojumu pieejamība” 3.1. politikas rezultātu, tā sasniegšanu sasaistot ar publiskā finansējuma pieejamību, lai novērstu maldīgas interpretācijas iespējas, ka Satiksmes ministrija plāno ietekmēt elektronisko sakaru tīklu izvēršanas izmaksas (iekārtu, būvmateriālu un būvdarbu cenas) vai brīvā tirgū sniegto elektronisko sakaru pakalpojumu cenas.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pieaugusi sniegto elektronisko sakaru pakalpojumu kvalitāte un pieejamība, publisko investīciju rezultātā elektronisko sakaru komersantiem ir samazinātas elektronisko sakaru tīklu attīstības un infrastruktūras izvēršanas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“Ietekmes novērtējums uz valsts un pašvaldību budžetu”.4.9.3. rīcības apakšvirziena 1.2. uzdevuma “Starptautiskā kravu loģistikas un ostu informācijas sistēma (SKLOIS) ir integrēta un darbojas vienotā Eiropas Jūras vienloga sistēma vidē EMSWe” informāciju, norādot uzdevuma izpildei plānoto finansējuma avotu. Saskaņā ar rīkojuma projekta 3.punktu plānā norādītajām atbildīgajām institūcijām sadarbībā ar līdzatbildīgajām institūcijām ir jānodrošina plānā paredzēto pasākumu īstenošanu. Satiksmes ministrija norāda, ka nevar izpildīt minēto uzdevumu, ja tai netiek plānots uzdevuma izpildei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vēršām uzmanību, ka, mainot plāna ietekmes novērtējumu uz valsts un pašvaldību budžetu plānotā un papildu nepieciešamā finansējuma gadu robežas ir dzēsta 2023.gada aile. Ņemot vērā minēto, lūdzam pārnest uz nākamo trīs gadu periodu uzdevuma izpildei nepieciešamo papildu finansējumu: 2024. gadā  - 500 000 euro, 2025.gadā  - 1 200 000 euro un 2026.gadā – 1 100 000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