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3.1.prioritātes "Ilgtspējīga TEN-T infrastruktūra”  3.1.1.specifiskā atbalsta mērķa “Attīstīt ilgtspējīgu, pret klimatu izturīgu, inteliģentu, drošu un vairākveidu TEN-T infrastruktūru” 3.1.1.6.pasākuma “Lielo ostu publiskās infrastruktūras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ietvaros līdz 2029. gada 31. decembrim ir sasniedzams šāds specifiskais iznākuma rādītājs: "Ostu skaits, kurās veiktas investīcijas videi draudzīgas ostu publiskās infrastruktūras attīstībā – divas ostas".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3.punktā minēto iznākuma rādītāja nosaukumu norādīt atbilstoši Eiropas Savienības Kohēzijas politikas programmā 2021.-2027.gadam noteiktajam vai anotācijā sniegt pamatojumu, ka noteikumu projektā paredzētā redakcija nav pretrunā ar programmā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nevar pretendēt uz finansējumu, ja tas atbilst grūtībās nonākuša komersanta statusam un uz to attiecas vismaz viens no </w:t>
            </w:r>
            <w:r w:rsidR="00000000" w:rsidRPr="00000000" w:rsidDel="00000000">
              <w:rPr>
                <w:rtl w:val="0"/>
              </w:rPr>
              <w:t xml:space="preserve">Komisijas 2014. gada 17. jūnija Regulas (ES) Nr. 651/2014, ar ko noteiktas atbalsta kategorijas atzīst par saderīgām ar iekšējo tirgu, piemērojot Līguma 107. un 108. pantu </w:t>
            </w:r>
            <w:r w:rsidR="00000000" w:rsidRPr="00000000" w:rsidDel="00000000">
              <w:rPr>
                <w:rtl w:val="0"/>
              </w:rPr>
              <w:t xml:space="preserve">(turpmāk - Regula (ES) Nr. 651/2014) 2.panta 18.punktā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14.punktā minēto salāgot ar anotācijā minēto, ka atbilstību grūtībās nonākuša uzņēmuma pazīmēm vērtēs, ja atbalsta pretendents plāno saņemt atbalstu atbilstoši Regulas Nr.651/2014 56.b punktam, jo šobrīd 14.punkts attiecas uz visiem gadījumiem, neņemot vērā, vai plānotais atbalsts ir vai nav saistīts ar komercdarbības atbalsta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sagatavo un iesniedz projekta iesniegumu Kohēzijas politikas fondu vadības informācijas sistēmā 2021.–2027. gadam saskaņā ar projektu iesniegumu atlases nolikuma prasībām, pievienojot projektam veikto izmaksu un ieguvumu analīzi un projekta iesniedzēja sagatavotu izvērtējumu par komercdarbības atbalstu projektā. Projekta iesniedzējam, veicot izmaksu un ieguvumu analīzi (finanšu analīzi un ekonomisko analīzi), jāievēro, ka projekta ekonomiskā ienesīguma norma ir lielāka par sociālo diskonta likmi un projekta ekonomiskā neto pašreizējā vērtība ir lielāka par nulli. Projekta pārskata periodu (projekta dzīves ciklu) nosaka atbilstoši </w:t>
            </w:r>
            <w:r w:rsidR="00000000" w:rsidRPr="00000000" w:rsidDel="00000000">
              <w:rPr>
                <w:rtl w:val="0"/>
              </w:rPr>
              <w:t xml:space="preserve">Komisijas 2014. gada 3. marta Deleģētās regulas (ES) Nr. 480/2014, ar kuru papildina Eiropas Parlamenta un Padomes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(turpmāk – Regula Nr. 480/2014)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15. punktā norādīto regulu uz aktuālo Eiropas Savienības fondu 2021.-2027. gada plānošanas perioda tiesisko regulējumu. Vēršam uzmanību, ka noteikumu projekts izstrādāts, pamatojoties uz Eiropas Savienības fondu 2021.—2027. gada plānošanas perioda vadības likumu, kas izstrādāts saskaņā ar Eiropas Parlamenta un Padomes 2021. gada 24. jūnija Regulu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Attiecīgi nav juridiski korekti norādīt Komisijas 2014. gada 3. marta Deleģēto regulu (ES) Nr. 480/2014, ar kuru papildina Eiropas Parlamenta un Padomes Regulu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kura regulē iepriekšējo plānošanas periodu - Eiropas Savienības struktūrfondu un Kohēzijas fonda 2014.-2020. gada plānošanas periodu. Vienlaikus lūdzam atbilstoši precizēt anotācijas 5.1.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Atbalstāmās darbības un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vienkāršoto izmaksu izstrādes iespējas kādām no projektos plānotajām darbībām vai izmaksām. Ja izstrādāt vienkāršotās izmaksas nav iespējams vai tas ir nelietderīgi no samērīguma viedokļa šajā pasākumā,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netiks piemērotas vienkāršotās izmaksas, lūdzam svītrot noteikumu projekta 1.6.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Atbalsts šo noteikumu </w:t>
            </w:r>
            <w:r w:rsidR="00000000" w:rsidRPr="00000000" w:rsidDel="00000000">
              <w:rPr>
                <w:rtl w:val="0"/>
              </w:rPr>
              <w:t xml:space="preserve">​</w:t>
            </w:r>
            <w:r w:rsidR="00000000" w:rsidRPr="00000000" w:rsidDel="00000000">
              <w:rPr>
                <w:rtl w:val="0"/>
              </w:rPr>
              <w:t xml:space="preserve">16.1. </w:t>
            </w:r>
            <w:r w:rsidR="00000000" w:rsidRPr="00000000" w:rsidDel="00000000">
              <w:rPr>
                <w:rtl w:val="0"/>
              </w:rPr>
              <w:t xml:space="preserve">apakšpunktā</w:t>
            </w:r>
            <w:r w:rsidR="00000000" w:rsidRPr="00000000" w:rsidDel="00000000">
              <w:rPr>
                <w:rtl w:val="0"/>
              </w:rPr>
              <w:t xml:space="preserve">  norādītās darbības īstenošanai kvalificējams kā komercdarbības atbalsts; atbalstu sniedz saskaņā ar </w:t>
            </w:r>
            <w:r w:rsidR="00000000" w:rsidRPr="00000000" w:rsidDel="00000000">
              <w:rPr>
                <w:rtl w:val="0"/>
              </w:rPr>
              <w:t xml:space="preserve">Regulu (ES) Nr. 651/2014</w:t>
            </w:r>
            <w:r w:rsidR="00000000" w:rsidRPr="00000000" w:rsidDel="00000000">
              <w:rPr>
                <w:rtl w:val="0"/>
              </w:rPr>
              <w:t xml:space="preserve"> un </w:t>
            </w:r>
            <w:r w:rsidR="00000000" w:rsidRPr="00000000" w:rsidDel="00000000">
              <w:rPr>
                <w:rtl w:val="0"/>
              </w:rPr>
              <w:t xml:space="preserve">Komisijas 2017. gada 14. jūnija Regulas (ES) 2017/1084 , ar ko Regulu (ES) Nr. 651/2014 groza attiecībā uz atbalstu ostu un lidostu infrastruktūrai, paziņošanas robežvērtībām atbalstam kultūrai un kultūrvēsturiskā mantojuma saglabāšanai un atbalstam sporta un multifunkcionālai atpūtas infrastruktūrai un reģionālā darbības atbalsta shēmām tālākajos reģionos un ar ko Regulu (ES) Nr. 702/2014 groza attiecībā uz attiecināmo izmaksu aprēķinu </w:t>
            </w:r>
            <w:r w:rsidR="00000000" w:rsidRPr="00000000" w:rsidDel="00000000">
              <w:rPr>
                <w:rtl w:val="0"/>
              </w:rPr>
              <w:t xml:space="preserve">(turpmāk - Regula (ES) 2017/1084) 56 b) panta 9.punktu.</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atbalsts tiek sniegts ar Regulas (ES) Nr. 651/2014 56 b) pantu, lūdzam noteikumu projekta 19.punktu izteikt tā, lai būtu skaidrs, ka tiks ievēroti visi 56 b) panta punkti, nevis tikai 9.punkts, kā arī lūdzam dzēst atsauci uz regulas grozījumiem, jo tiek piemēroti gan visi attiecīgie aktuālās Regulas (ES) Nr. 651/2014 vispārīgās I sadaļas nosacījumi, gan arī 56 b) panta nosacījumi. Atbilstoši lūdzam precizēt arī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Piemērojot </w:t>
            </w:r>
            <w:r w:rsidR="00000000" w:rsidRPr="00000000" w:rsidDel="00000000">
              <w:rPr>
                <w:rtl w:val="0"/>
              </w:rPr>
              <w:t xml:space="preserve">Regulas (ES) 2017/1084 </w:t>
            </w:r>
            <w:r w:rsidR="00000000" w:rsidRPr="00000000" w:rsidDel="00000000">
              <w:rPr>
                <w:rtl w:val="0"/>
              </w:rPr>
              <w:t xml:space="preserve">56 b) panta 9.punktu, atbalsta summa šo noteikumu </w:t>
            </w:r>
            <w:r w:rsidR="00000000" w:rsidRPr="00000000" w:rsidDel="00000000">
              <w:rPr>
                <w:rtl w:val="0"/>
              </w:rPr>
              <w:t xml:space="preserve">16.1. </w:t>
            </w:r>
            <w:r w:rsidR="00000000" w:rsidRPr="00000000" w:rsidDel="00000000">
              <w:rPr>
                <w:rtl w:val="0"/>
              </w:rPr>
              <w:t xml:space="preserve">apakšpunktā</w:t>
            </w:r>
            <w:r w:rsidR="00000000" w:rsidRPr="00000000" w:rsidDel="00000000">
              <w:rPr>
                <w:rtl w:val="0"/>
              </w:rPr>
              <w:t xml:space="preserve"> norādītās darbības īstenošanai ir 80 % apmērā no darbības īstenošanas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skaidroto un plānotās attiecināmās izmaksas, pirmsšķietami secināms, ka atbalsts tiek sniegts uzlādes  infrastruktūrai, kas apgādā ar elektroenerģiju, saskaņā ar Regulas (ES) 2017/1084 56 b) panta 2 a) punktu. Vienlaikus ir jāņem vērā arī pārējie atbilstošie šī panta nosacījumi, piemēram, 56 b) panta 7. un 8.punkts, kā arī iespējams piemērot 56 b) panta 5 a) punktā minēto. Attiecīgi lūdzam papildināt noteikumu projektu ar nepieciešamajām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56 b) panta 1.punktā minēto, par Regulas (ES) Nr. 651/2014 I nodaļā paredzēto nosacījumu izpildi, lūdzam noteikumu projektu papildināt ar uz pasākumu attiecināmiem nosacījumiem, kas izriet no Regulas (ES) Nr. 651/2014 1., 6., 9., 12.panta, kā arī normu, kas nosaka atbalsta piešķiršanas dienu - kad saņēmējam saskaņā ar piemērojamo valsts tiesisko regulējumu ir nodotas likumīgās tiesības saņemt atbalstu, normu, kas nosaka termiņu, līdz kuram var pieņemt lēmumu par atbalsta piešķiršanu, ievērojot Regulas Nr. 651/2014 58. panta 4. punktā un 59. pantā noteikto darbības termiņu, un nosacījums par nelikumīga komercdarbības atbalsta atgūšanu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30.3. apakšpunktu piedāvātajā redakcijā. Vēršam uzmanību, ka dubultā finansējuma neiestāšanās nodrošināma ne tikai attiecībā uz citiem valsts un ārvalstu finanšu atbalsta instrumentiem, bet arī konkrētā projekta īstenošanai piešķirtā finansējuma ietvaros darbības nedrīkst tikt finansētas dubultā.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sinerģiju un papildinātību ar Eiropas Savienības un citiem atbalsta instrumentiem (tai skaitā Eiropas Savienības struktūrfondu un Kohēzijas fonda 2014.-2020.plānošanas perioda ietvaros veiktajiem pasākumiem), norādot, kā tiks nodrošināta demarkācija un dubultfinansējuma riska novēršana gadījumos, kad no dažādiem finanšu avotiem tiks atbalstītas vienas un tās pašas atbalstāmās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nodrošina, ka projektā plānotās attiecināmās izmaksas netiek finansētas vai līdzfinansētas, kā arī tās nav plānots finansēt vai līdzfinansēt no citiem valsts un ārvalstu finanšu atbalsta instrumentiem, un dubultā finansējuma neiestāšanos;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zemāk minēto rindkopu papildināt, skaidri norādot, ka infrastruktūrai, kas nav saņēmusi komercdarbības atbalstu, visā tās lietderīgās izmantošanas laikā ir jāsaglabā nesaimniecisks raksturs, ja iespējams, norādot šo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Komisijas Konkurences ģenerāldirektorāta izstrādātajos vadlīniju dokumentos par valsts atbalstu ostu infrastruktūrai noteikts, ka ostu infrastruktūras, kuru nav paredzēts komerciāli izmantot (tajā skaitā infrastruktūrai navigācijas kontroles un drošības uzlabošanai) finansēšanai nav piemērojami valsts atbalsta nosacījumi. Tā kā drošu kuģošanas apstākļu nodrošināšana ir viena no pasākuma ietvaros iekļautajām atbalstāmajām darbībām, tiek ņemts vērā, ka finansējuma ieguldījumi šiem mērķiem netiks uzskatīti par valsts atbalstu komercdarbībai."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aizpildīt anotācijas 3. sadaļas 1. – 5. punktus, lai tajos norādītā informācija par ietekmi uz budžetu nav pretrunā noteikumu projekta 9.punktā un anotācijas 3.sadaļas 6.punktā sniegtajai informācijai, proti, saskaņā ar noteikumu projekta 9.punktu projekta iesniedzēja līdzfinansējums ir privātais finansējums, attiecīgi tas nav norādāms anotācijas 3.sadaļas 2.punktā kā budžeta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anotācijas 3. sadaļas punktā “Cita informācija” norādīt, ka Kohēzijas fonda finansējums pasākumu īstenošanai tiks pieprasīts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1. tabulu papildināt ar noteikumu projekta punktu izvērtējumu atbilstoši Regulas (ES) Nr. 651/2014 attiecīgajām normām. Vienlaikus lūdzam tabulu papildināt ar informāciju, ka Satiksmes ministrija 20 darba dienu laikā pēc noteikumu spēkā stāšanās iesniegs Eiropas Komisijai pasākuma kopsavilkuma informāciju, izmantojot SANI2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2021.–2027.gadam 3.1.prioritātes "Ilgtspējīga TEN-T infrastruktūra”  3.1.1.specifiskā atbalsta mērķa “Attīstīt ilgtspējīgu, pret klimatu izturīgu, inteliģentu, drošu un vairākveidu TEN-T infrastruktūru” 3.1.1.6.pasākuma “Lielo ostu publiskās infrastruktūras attīstība”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Satiksmes ministrijas ierosinātie grozījumi Eiropas Savienības Kohēzijas politikas programmā 2021.-2027.gadam, kas paredz samazināt 3.1.1.6.pasākumam "Lielo ostu publiskās infrastruktūras attīstība" pieejamo finansējumu un attiecīgi arī sasniedzamo rādītāju, vēl nav apstiprināti nacionālā līmenī un secīgi Eiropas Komisijā, lūdzam papildināt protokollēmuma projektu ar jaunu punktu  piedāvātajā redakcijā, kā arī izsekojamībai izvērstāku informāciju iekļaut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informēt Ministru kabinetu par priekšlikumiem rīcībai gadījumā, ja netiek saņemts pozitīvs Eiropas Komisijas lēmums par  grozījumiem Eiropas Savienības Kohēzijas politikas programmā 2021.-2027.gadam.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atbalstāmo darbību un izmaksu attiecināmības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arī komercdarbības atbalsta piešķiršanu, lūdzam papildināt noteikumu projekta 1.5. apakšpunktu aiz vārda "nosacījumus" ar vārdiem "tostarp komercdarbības atbalsta piešķiršanas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Projektu iesniedzēji ir Ventspils brīvostas pārvalde un Liepājas speciālās ekonomiskās zonas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 punktu, ka pēc projekta iesnieguma apstiprināšanas projekta iesniedzējs ir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Izmaksas ir attiecināmas no projekta iesnieguma iesniegšanas dienas. Būvdarbu līgumu slēdz un ar ieguldījumiem saistītus būvdarbus uzsāk pēc projekta iesnieguma iesniegšanas, izņemot projekta pamatojošās dokumentācijas sagatavošanas izmaksas, kas ir attiecināmas, ja tās veiktas pēc 2024.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un skaidru normas piemērošanu, aicinām papildināt noteikumu projekta 25. punktu, norādot, kur jāiesniedz projekta iesniegums, t.i., sadarbības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Pievienotās vērtības nodokļa maksājumi, kas tiešā veidā saistīti ar projektu, ir attiecināmās izmaksas, ja tos nevar atgūt atbilstoši normatīvajiem aktiem par pievienotās vērtības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27.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Pasākuma atbalstāmo darbību ietvaros ir attiecināms pievienotās vērtības nodoklis tiešajām attiecināmajām izmaksām atbilstoši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64. panta 1. punkta “c” apakšpunkta nosacījumiem, ja tas nav atgūstams atbilstoši normatīvajiem aktiem nodokļu politikas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Īstenojot projektu,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30. punktu vai anotāciju, ka finansējuma saņēmējs izstrādā nosacījumus, kā tas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noteikumu projektā ir paredzēta infrastruktūra, tad noteikumu projektā ir jāiekļauj nosacījums par finansējuma saņēmēja tiesībām uz konkrēto objektu vai īpašumu, kurā plānots veikt ieguldījumus (īpašumā, ilgtermiņa nomā vai nodibinātas apbūves tiesības, bezatlīdzības lietošanā, valdījumā, turējumā u.c.). Finansējuma saņēmēja tiesībām uz konkrēto objektu vai īpašumu jābūt nostiprinātām Zemesgrāmatā (ja attiecināms). Ja minētajam nosacījumam saskaņā ar nacionālo regulējumu ir izņēmums, tas attiecīgi aprakstāms noteikumu projekta anotācijā. Lūdzam atbilstoši papildināt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30.2.4. horizontālo principu "Nenodarīt būtisku kaitējumu";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informāciju, ka investīcijas īstenošanas laikā tiks nodrošinātas nepieciešamās darbības un ievēroti nosacījumi, kas identificēti horizontālā principa “Nenodarīt būtisku kaitējumu” (Do no significant harm – DNSH) novērtējumā, lai nodrošinātu, ka tiek novērsta vai mazināta pasākuma ietvaros atbalstāmo darbību ietekme uz vidi, kā arī lūdzam papildināt anotāciju ar veicamajām darbībām un nosacījumiem finansējuma saņēmējiem, kas identificēti DNSH novērtējumā.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arī ar informāciju, norādot, vai pasākumam būs tieša vai netieša ietekme uz DNSH principa ievērošanu.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30.7. projekta īstenošanai nepieciešamo preču un pakalpojumu iegādi veic saskaņā ar normatīvajiem aktiem publisko iepirkumu jomā, īstenojot atklātu, pārredzamu, nediskriminējošu un konkurenci nodrošinošu konkursa procedūru. Atbalstāms ir zaļais publiskais iepirkums (vides prasību integrācija preču un pakalpojumu iepirkumos) un sociāli atbildīgs iepirkums.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arī inovatīva iepirkuma nosacījumu piemērošanas iekļaušanu noteikumu projektā, vai arī anotācijā norādīt, kāpēc tas netiek plānots un to nav iespējams piemērot.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Sadarbības iestāde pēc līguma par projekta īstenošanu noslēgšanas un rakstiska avansa pieprasījuma saņemšanas var piešķirt avansu, ja tai ir pieejami valsts budžeta līdzekļi, izvērtējot plānotā avansa apmēru un nepieciešamības pamatojumu. Finansējuma saņēmējs avansa pieprasījumu sagatavo un sadarbības iestāde to apstiprina, ņemot vērā, ka plānotā avansa apmērs un tā pamatojums atbilst spējai to izlietot sešu mēnešu laikā saimnieciskā gada ietvaros. Finansējuma saņēmējam avansu var piešķirt līdz 30 procentiem no projektam piešķirtā Kohēzijas fonda finansējuma, ievērojot, ka avansu var izmaksāt vairākos maksājumos un avansa un starpposma maksājumu kopsumma nepārsniedz 90 procentus no projektam piešķirtā Kohēzijas fonda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31.punktu, aizstājot vārdus "līguma par projekta īstenošanu" ar vārdiem "vienošanās par projekta īstenošanu", ņemot vērā, ka projekta iesniedzējs ir atvasināta publiska persona, un lai nodrošinātu atbilstību Eiropas Savienības fondus regulējošajos normatīvajos aktos lietotajai terminoloģijai. Vēršam uzmanību, ka arī noteikumu projekta 29. punktā tiek minēta </w:t>
            </w:r>
            <w:r w:rsidR="00000000" w:rsidRPr="00000000" w:rsidDel="00000000">
              <w:rPr>
                <w:u w:val="single"/>
                <w:rtl w:val="0"/>
              </w:rPr>
              <w:t xml:space="preserve">vienošanās</w:t>
            </w:r>
            <w:r w:rsidR="00000000" w:rsidRPr="00000000" w:rsidDel="00000000">
              <w:rPr>
                <w:rtl w:val="0"/>
              </w:rPr>
              <w:t xml:space="preserve">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no kādiem līdzekļiem tiks nodrošināta pasākuma rezultātu/ rādītāju ilgtspēja/uzturēšana.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finansējuma saņēmējiem paredzēta iespēja saņemt avansu, lūdzam anotācijā iekļaut informāciju un pamatot piešķiramā avansa maksimālā apjoma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informāciju, kādā veidā un atbilstoši kādiem kritērijiem tika noteikti plānotie projektu iesniedzēji (Ventspils brīvostas pārvalde un Liepājas SEZP), t.sk. pamatojot izvēlēto projektu iesniedzēju loku.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"Risinājuma apraksts, Citi faktori." ar aprakstu par katru horizontālo principu (turpmāk – HP), norādot, kāda veida informācija būs jāsniedz projektā, kā arī, kāda veida dati jāuzkrāj atbilstoši MK noteikumu projekta 30.2.apakšpunktam, lai sniegtu skaidru un nepārprotamu informāciju par HP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salāgot anotācijā sniegto informāciju sadaļā "Citi faktori" ar kritēriju komplektā (specifiskais kritērijs Nr.3.6.) noteikto "Nav ietekmes uz HP VINPI" (attiecībā uz HP VINPI ietekmes intensitāti horizontālajiem principiem "Vienlīdzība, iekļaušana, nediskriminācija, un pamattiesību ievērošana", "Klimatnodrošināšana" un "Energoefektivitāte pirmajā vietā”).  Gadījumā, ja pasākumam ir netieša ietekme uz HP "Vienlīdzība, iekļaušana, nediskriminācija, un pamattiesību ievērošana", lūdzam noteikumu projektā iekļaut 1 HP rādītāju, kāds tiks sasniegts, īstenojot pasākumu.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ka finansējuma saņēmējs ievēro komunikācijas un vizuālās identitātes prasību nodrošināšanas pasākumus saskaņā ar Regulas 2021/1060 47. un 50. pantu un normatīvajiem aktiem par kārtību, kādā Eiropas Savienības fondu vadībā iesaistītās institūcijas nodrošina šo fondu ieviešanu 2021. – 2027. gada plānošanas periodā, </w:t>
            </w:r>
            <w:r w:rsidR="00000000" w:rsidRPr="00000000" w:rsidDel="00000000">
              <w:rPr>
                <w:u w:val="single"/>
                <w:rtl w:val="0"/>
              </w:rPr>
              <w:t xml:space="preserve">kā arī ievēro Eiropas Savienības fondu 2021. – 2027. gada plānošanas perioda un Atveseļošanas fonda komunikācijas un dizaina vadlīnijas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norādot pasākuma ietvaros plānoto investīciju nozīmi un pienesumu Latvijas kopējai izaugsmei un tautsaimniecības attīstībai, ņemot vērā FM 2023.gada vēstulē Nr. 5.1-24/21/ 1076 “Par Eiropas Savienības fondu un Atveseļošanas fonda investīciju pienesumu tautsaimniecībai” ietverto aicinājumu. Vēršam uzmanību, ka saskaņā ar MK 2021.gada 7.septembra noteikumu Nr.617 “Tiesību akta projekta sākotnējās ietekmes izvērtēšanas kārtība” 14.punktā noteikto, izstrādājot sākotnējās ietekmes novērtējumu (anotāciju), ir jāizvērtē arī normatīvā akta ietekme uz tautsaimniecību, norādot pēc iespējas izmērāmus rādītājus, kā arī novērtējot konkrētus aspektus par plānoto ieguldījumu sagaidāmo ietekmi un efektivitāti, t.sk. faktiski sagaidāmos rezultātus/uzlabojumus. Pienesumu tautsaimniecībai atspoguļo, piemēram, izmērāma ietekme uz makroekonomisko vidi, pienesums ekonomikas transformācijai, nozaru konkurētspējai, uzņēmējdarbības videi, nodarbinātībai, kā arī ietekme uz nozaru politikas mērķiem, </w:t>
            </w:r>
            <w:r w:rsidR="00000000" w:rsidRPr="00000000" w:rsidDel="00000000">
              <w:rPr>
                <w:rtl w:val="0"/>
              </w:rPr>
              <w:t xml:space="preserve">Latvijas Nacionālajā attīstības plānā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2.1. sadaļas apakšsadaļu "Juridiskās personas" ar norādi uz Ventspils brīvostas pārvaldi, Liepājas speciālās ekonomiskās zonas pārvaldi un Satiksmes ministriju, savukārt atbilstošajā apakšsadaļā "Ietekmes apraksts" norādīt, ka Ventspils brīvostas pārvalde un Liepājas speciālās ekonomiskās zonas pārvalde pildīs finansējuma saņēmēja funkcijas, un Satiksmes ministrija pildīs atbildīgās iestādes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6. punkta tabulā pozīcijai “KF finansējums” norādītos apmērus, jo, saskaitot tos kopā, sanāk 8 114 000 euro nevis 8 113 999 euro, kā arī pozīciju “KF finansējums” un “Projekta iesniedzēja līdzfinansējums” kopsumma sanāk 9 545 883 euro nevis 9 545 882 euro kā paredzēts noteikumu projekta 9.punktā.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6.1.sadaļā iekļaut informāciju par attiecīgās nozares/ jomas pārstāvošu biedrību, nodibinājumu, nevalstisko organizāciju iesaisti MK noteikumu projekta izstrādē.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24-TA-375</w:t>
    </w:r>
    <w:r>
      <w:br/>
    </w:r>
    <w:r w:rsidR="00000000" w:rsidRPr="00000000" w:rsidDel="00000000">
      <w:rPr>
        <w:rtl w:val="0"/>
      </w:rPr>
      <w:t xml:space="preserve">Izdrukāts 14.05.2024. 19.37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24-TA-375</w:t>
    </w:r>
    <w:r>
      <w:br/>
    </w:r>
    <w:r w:rsidR="00000000" w:rsidRPr="00000000" w:rsidDel="00000000">
      <w:rPr>
        <w:rtl w:val="0"/>
      </w:rPr>
      <w:t xml:space="preserve">Izdrukāts 14.05.2024. 19.37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Atzinumi_24-TA-375.docx</dc:title>
</cp:coreProperties>
</file>

<file path=docProps/custom.xml><?xml version="1.0" encoding="utf-8"?>
<Properties xmlns="http://schemas.openxmlformats.org/officeDocument/2006/custom-properties" xmlns:vt="http://schemas.openxmlformats.org/officeDocument/2006/docPropsVTypes"/>
</file>