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Murjāņu sporta ģimnāzijas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4. sadaļas informāciju attiecībā uz attiecīgo Ministru kabineta noteikumu atzīšanu par spēku zaudējušiem, jo atbilstoši Valsts kancelejas izstrādātajām vadlīnijām tiesību akta projekta sākotnējās ietekmes novērtēšanai un novērtējuma ziņojuma sagatavošanai vienotajā tiesību aktu izstrādes un saskaņošanas portālā, ja spēkā esošā tiesību akta atzīšana par spēku zaudējušu ir paredzēta izstrādātajā tiesību akta projektā, to norāda nevis šajā apakšpunktā,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23.08.2024.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23.08.2024.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Atzinumi_24-TA-532.docx</dc:title>
</cp:coreProperties>
</file>

<file path=docProps/custom.xml><?xml version="1.0" encoding="utf-8"?>
<Properties xmlns="http://schemas.openxmlformats.org/officeDocument/2006/custom-properties" xmlns:vt="http://schemas.openxmlformats.org/officeDocument/2006/docPropsVTypes"/>
</file>