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kas paredz veikt grozījumus likuma 1.panta pirmajā daļā, nepieciešami vēl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jāprecizē likuma 1.panta pirmās daļas 12.punkta “a” apakšpunkts, iekavās minot transportlīdzekļu veidus, kas pakļauti OCTA apdrošināšanai.  Šāds uzskaitījums iekavās ir nepieciešams, lai transportlīdzekļa īpašniekiem un tiesīgajiem lietotājiem būtu viegli uztverams, kāda veida transportlīdzekļi ir pakļauti OCTA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Iekavās jādod atsauce arī uz "elektromobilis" (jaunieviesto terminu saskaņā ar grozījumiem Ceļu satiksmes likumā), kas  ir mehāniskais transportlīdzeklis, kas pēc savas konstrukcijas kā vienīgo mehānisko dzinējspēku izmanto enerģiju no transportlīdzeklī glabātās elektroenerģijas vai dzinējspēka glabāšanas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1.panta pirmās daļas 12.punkts jāpapildina ar “c” apakšpunktu, lai paredzētu, ka arī "elektroskrejritenis un  velorikša" ir uzskatāmi par transportlīdzdekļiem OCTA likuma izpratnē un attiecīgi tiem ir nepieciešama OCTA polise.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 izsludināti grozījumi Ceļu satiksmes likumā, kas spēkā ar 06.07.2023. Ņemot vērā to, ka ar šiem grozījumiem Ceļu satiksmes likumā  (CSL) elektroskrejriteņu un velorikšu reģistrācija ir obligāta (lai varētu iegādāties arī OCTA), attiecīgi grozījumi veicami arī OCTA likumā, lai paredzētu prasību par OCTA veikšanu šiem transportlīdzekļiem.  Normas par obligāto reģistrāciju stājas spēkā 2024. gada 1. janvārī, un vienlaikus CSL noteikts, ka elektroskrejriteņu un velorikšu reģistrācija veicama līdz 2024. gada 31. martam, un pēc šā termiņa ar nereģistrētiem elektroskrejriteņiem un velorikšām ceļu satiksmē piedalīties aizliegts. OCTA likuma pārejas noteikumos jāparedz prasība par OCTA veikšanu šiem transportlīdzekļiem no 01.07.2024., lai apdrošinātāji varētu sagatavoties šādu izmaiņu veikšanai savās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grozījumi jāparedz šajos OCTA likuma grozījumos vai arī jau Saeimā iesniegtajos OCTA likuma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jāparedz, ka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1.panta pirmās daļas 14.punktā jāizslēdz vārdi "ceļu satiksmē", jo transportlidzekli var lietot jebkurā vietā, un tad, kad transportlīdzeklis tiek lietots atbilstoši braukšanas funkcijai, nepieciešams, lai būtu spēkā esoša OCTA polise. OCTA nepieciešama, transportlīdzekli lietojot ne tikai ceļu satiksmē,  bet, arī, piem., pļavā vai mežā, jo "ceļu satiksmes negadījuma" (CSNg) definīcija  ietver ne tikai ceļu satiksmē notikušos negadījumus, bet arī negadījumus jebkurā citā vietā, kur iespējama transportlīdzekļa braukšana.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1.pantu (grozījumus likuma 1.panta pirmajā daļā)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12.punkta “a”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sauszemes mehāniskais transportlīdzeklis (tai skaitā elektromobilis,  piekabe (puspiekabe), traktortehnika (speciālā traktortehnika), mopēds, kvadricikls, tricikls, trolejbuss), kas ir reģistrējams Ceļu satiksmes drošības direkcijā vai Valsts tehniskās uzraudzības aģentūrā, vai vietējā pašvaldībā vai ir reģistrēts ārvalstī,";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12.punktu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elektroskrejritenis, velorikša;”;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14.punktā vārdus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pirmajā daļā (esošajā reakcijā) definīcijas izkārtotas alfabēta secībā. Līdz ar to "Eiropas Ekonomiskās zonas valsts transportlīdzekļa" definīcija labāk iederētos kā OCTA likuma 1.panta pirmās daļas 8.1 punkts. Vēl atvērts paliek jautājums, vai OCTA likumā nepieciešams iekļaut šādu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definīcija tiek saglabāta, tad tā ir jāprecizē, lai būtu saprotams, ka no jauna iekļautais termins neattiecas uz LR reģistrētajiem transportlīdzekļiem.  Ierosinām definīciju papildināt ar vārdiem iekavās "(šis termins šā likuma izpratnē netiek attiecināts uz  šā likuma 1.panta pirmās daļas 12.punktā definēto terminu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"Eiropas Ekonomikas zonas valsts" ietver arī "Eiropas Savienības dalībvalstis". Līdz ar to vārdi "Eiropas Savienības dalībvalstis" ir izslēdzami.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OCTA likumā definētā "transportlīdzeklis"  definīcija ietver šādu piebildi - "vai ir reģistrēts ārvalstī". Šī piebilde "transportlīdzekļa" definīcijā attiecas uz tiem transportlīdzekļiem,  attiecībā uz kuriem tiek slēgts robežlīgums vai Eiropas Ekonomikas zonas transportlīdzekļiem, ja tie tiek vesti no vienas dalībvalsts uz otru (dispatched vehicles" (OCTA direktīvas 2009/103/EK 15.pants).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rodas jautājums, vai vispār šāda jauna definīcija OCTA likumā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1.panta pirmo daļu ar 8.1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Eiropas Ekonomiskās zonas valsts transportlīdzeklis - sauszemes mehāniskais transportlīdzeklis, kas ir reģistrēts vai reģistrējams Eiropas Savienības dalībvalstī vai Eiropas Ekonomikas zonas valstī (šis termins šā likuma izpratnē netiek attiecināts uz  šā likuma 1.panta pirmās daļas 12.punktā definēto terminu “transportlīdzeklis”)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pirmās daļas 2.punktu nepieciešams precizēt redakcionāli,  kā arī nelietot pagātnes 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gadījums — ceļu satiksmes negadījums, kad, lietojot transportlīdzekli transporta vajadzībām neatkarīgi no transportlīdzekļa lietošanas vietas un neatkarīgi no tā, vai transportlīdzeklis ir stāvošs vai atrodas kustībā, ir nodarīti zaudējumi (kaitējums) trešajai personai, un, kuram iestājoties paredzēta, apdrošināšanas atlīdzības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pirmajā daļā (esošajā reakcijā) definīcijas izkārtotas alfabēta secībā. Līdz ar to "izziņas par apdrošināšanas vēsturi" definīcija labāk iederētos kā OCTA likuma 1.panta pirmās daļas 8.2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apdrošināšanas vēsturi" definīcija  jāiekļauj kā OCTA likuma 1.panta pirmās daļas 8.2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kas paredz veikt grozījumus likuma 3.panta otrajā daļā  jāizslēdz vārdi "ceļu satiksmē", jo transportlīdzekli var lietot jebkurā vietā. OCTA nepieciešama, transportlīdzekli lietojot ne tikai ceļu satiksmē, jo "ceļu satiksmes negadījuma" definīcija (atbilstoši CSL)  ietver ne tikai ceļu satiksmē notikušos negadījumus, bet arī negadījumus jebkurā citā vietā, kur iespējama transportlīdzekļa braukšana.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teikumā vārdus “par katru ceļu satiksmē lietoto transportlīdzekli” ar vārdiem “par transportlīdzekļa lietošanu atbilstoši šā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1 </w:t>
            </w:r>
            <w:r w:rsidR="00000000" w:rsidRPr="00000000" w:rsidDel="00000000">
              <w:rPr>
                <w:rtl w:val="0"/>
              </w:rPr>
              <w:t xml:space="preserve">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pirmo un otro daļu -  tā kā Apdrošināšanas līguma likumā ir regulēts jautājums par īguma slēgšanu attālināti (12. pants. Apdrošināšanas līguma noslēgšana, izmantojot distances saziņas līdzekli ), tad attiecīgi OCTA likumā nav nepieciešams regulēt detalizētāk.  Apdrošinātājam ir jābūt iespējai izvēlēties, kādā veidā noslēgt līgumu, attālināti vai klātienē.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4.1 panta trešo daļu jaunā redakcijā (lūdzu skatīt piedāvāto redakciju), lai noteiktu, ka apdrošinātājs datus par noslēgto līgumu nodod nevis OCTA informācijas sistēmai, bet  paredzētu, ka datus nodod LTAB,  lai izvairītos lietot apzīmējumu "OCTA informācijas sistēma". Jānovērš neskaidrības ar šī termina piemērošanu praksē, jo OCTA  informācijas sistēma sastāv no atsevišķām patstāvīgām datu bāzēm un  ir to kopums.  Tā kā OCTA informācijas sistēmai nav iespējams noteikt vienotu pārzini, tad attiecīgi  "OCTA informācijas sistēma"  jāaizstāj ar "OCTA darbībai nepieciešamie dati" (grozījumi virzāmi šajā pakā vai kā priekšlikumi iesniedzami Saeimā iesniegtajiem OCTA likuma grozījumiem). Tā kā šajā normā termins "OCTA darbībai nepieciešamie dati" neiederas, tad  normā šobrīd tiek paredzēts,  ka apdrošinātāji  nodod datus LTAB. Norma jāaktualizē arī atbilstoši OCTA līguma izsniegšanai praksē - "izsniedz vai nosūta apdrošinājuma ņēmējam apdrošināšanas polisi", un datus par visiem nsolēgtajiem līgumiem, tai skaitā robežapdrosināšanas līgumiem, nodod līguma noslēgšanas brīdī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termina "OCTA informācijas sistēma"  lietošanu - vēl pastāv šāds risinājums - pēdējā FM un LDDK biedra LTAB sanāksmē š.g. augustā, kas attiecās uz jau Saeimā iesniegtajiem OCTA likuma grozījumiem,  bija panākta vienošanās, ka visā likumā “OCTA informācijas sistēma” jāaizstāj ar vārdiem “OCTA darbība”, lai varētu teikt, ka datus nodot nevis OCTA informācijas sistēmai, bet gan - ka nodod OCTA darbībai nepieciešamo informāciju. Ja virzās šādi, tad jāgroza vairāki likuma panti, turklāt, ne visos pantos var lietot “OCTA darbībai nepieciešamos datus”, un tad jālieto “datus nodod LTAB”, kā arī grozījumi veicami 58.panta trešajā daļā, kas paredz deleģējumu MK izdot MK not. Ja groza deleģējuma normu, tad par jaunu jāizdod paši noteikumi, t.i., MK not. 801 par OCTA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jāsaprecizē tā, lai termins “OCTA informācijas sistēma” paliek, bet lai  būtu saprotams, ka šāda sistēma ir tikai sistēma nosaukuma (labākas uztveramības) pēc OCTA likuma izpratnē. Piedāvājam likuma 58.panta pirmā daļā iekļaut nelielu papildinājumu "šā likuma izpratnē kopā tiek apzīmēti kā", kā arī izslēgt paskaidrojumu "strukturētu informācijas tehnoloģiju un datubāzu kopumu". Šādi rīkojoties, tad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šā likuma izpratnē kopā tiek apzīmēti kā sauszemes transportlīdzekļu īpašnieku civiltiesiskās atbildības obligātās apdrošināšanas informācijas sistēma  (turpmāk —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jāparedz, ka grozījumi šā likuma 4.1 pantā attiecībā uz pirmās un otrās daļas izslēgšanu un trešās daļas precizēšanu, 7.panta pirmajā daļā, 8.p.  un 9.panta ceturtajā daļā stājas spēkā  2024.gada 1.julijā.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un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 panta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Slēdzot apdrošināšanas līgumu, apdrošinātājs līguma noslēgšanas brīdī nodod datus par noslēgto līgumu Transportlīdzekļu apdrošinātāju birojam un izsniedz vai nosūta apdrošinājuma ņēmējam apdrošināšanas polisi un norādi uz publiski pieejamu sauszemes transportlīdzekļu īpašnieku civiltiesiskās atbildības obligātās apdrošināšanas informācijas avotu tīmekļvietnē, kur iespējams bez maksas pārliecināties par apdrošināšanas līguma spēkā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paredzētu veikt grozījumus likuma 7.panta pirmajā daļā,  attiecīgi mainot likumprojekta esošo pantu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(lūdzu skatīt piedāvāto redakciju), izgrozot OCTA likuma 7.panta pirmo daļu,  paredz noteikt, ka Zaļo karti (ZK) izdod attiecībā uz tām valstīm, kur šobrīd nedarbojas Latvijā izdots standartlīgums, t.i.,  šobrīd ZK var izdot uz 9 valstīm, kas šajā tabulā iekrāsotas ar zaļu krāsu - https://www.ltab.lv/riki-apdrosinatajiem/kada-octa-polise-nepieciesama-arvalstis/. No 01.06.2023.  uz Krieviju un Baltkrieviju vairs nevar būt spēkā ZK, kas derīgas pēc šī datuma.  No nākamā gada Irāna arī vairs nebūs ZK sistēmas dalībvalsts. Līdz ar to faktiski runa ir par 8 valstīm, kas nav daudzpusējā nolīguma dalībvalsts un uz kurām nākotnē būtu nepieciešams izdot ZK, un viena no tām ir arī Ukraina, kur šobrīd stipri sarucis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šāds risinājums, it īpaši tad, ja  ZK paredz iespēju to slēgt arī attālināti, samazinātu to gadījumu skaitu, kad ZK izdotas pēc CSNg, t.i., samazinātos to gadījumu skaits, kad nākas iesaistīties Latvijas Garantijas fondam (GF) zaudējumu segšanā, jo atbilstoši  Zaļās kartes sistēmas Biroju padomes (Cobx) prasībām ZK jāstājas spēkā ar konkrētās dienas plkst. laiku 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ZK ar atpakaļejošu datumu var saņemt arī EEZ valstīs, bet, ja ieviesīs jauno variantu, tad iespēja saņemt ZK ar atpakaļejošu datumu būs tikai dažās ZK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paralēli neeksistētu ZK un standartlīgums,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lielāka skaidrība, ka ZK nepieciešama tikai tur, kur nedarbojas standartlīgums.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7.panta pirmajā daļā,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7.panta  pirmās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Starptautiskais apdrošināšanas līgums (Zaļā karte) ir apdrošināšanas līgums, kas tiek noslēgts attiecībā uz transportlīdzekli, kurš reģistrēts Latvijas Republikā un piedalās ceļu satiksmē valstī, kas ir Zaļās kartes sistēmas dalībvalsts, uz kuru neattiecas 2002.gada 30.maija daudzpusējais nolīgums starp Eiropas Ekonomikas zonas dalībvalstu un citu asociēto valstu nacionālajiem apdrošināšanas birojiem."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8.pantā,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 panta pirmā daļa (kas šobrīd nosaka, kad apdrošinātājam ir pienākums izsniegt apdrošināšanas polisi) un trešā daļa (kas šobrīd nosaka, kad izdod apdrošināšanas polises dublikātu) satur novecojušas  normas, kas praksē nedarbojas un ir izslēdzamas.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8.panta pirmo un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9.pantā,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9.panta ceturtās daļas pirmais teikums precizējams, lai noteiktu, ka apdrošināšanas līgums stājas spēkā apdrošināšanas līgumā noteiktajā laikā, bet ne agrāk par tā noslēgšanas brīdi un ne vēlāk kā triju mēnešu laikā pēc tā noslēgšanas. Šādi grozījumi nepieciešami, lai samazinātu ZK un robežapdrošināšanas līguma (RL) noslēgšanu pēc CSNg, ja ZK un RL slēdz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9.panta ceturtās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līgums stājas spēkā apdrošināšanas līgumā noteiktajā laikā, bet ne agrāk par tā noslēgšanas brīdi un ne vēlāk kā triju mēnešu laikā pēc tā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9.2 pantā,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nepieciešami, lai  turpmāk LTAB varētu paziņot par līguma izbeigšanos ne tikai OCTA likuma 10.pantā minētajos gadījumos, bet arī tajos gadījumos, kad līguma darbība ir beigusies, un transportlīdzekļa īpašnieks vai tiesīgais lietotājs nav noslēdzis jaunu līgumu. Grozījumi vērsti uz to, lai nodrošinātu nepārtrauktu OCTA spēkā esamību atbilstoši tam, kā to paredz OCTA direktīvas 3.p.  (Katra dalībvalsts, ievērojot 5. pantu, veic visus vajadzīgos pasākumus, lai nodrošinātu to, ka civiltiesiskā atbildība par to transportlīdzekļu lietošanu, kas parasti atrodas tās teritorijā, ir apdrošināta) un Eiropas Savienības Tiesu (EST) prakse OCTA lietās (skat. EST  04.09.2018. spriedumu lietā C-80/17, kur EST nosprieda, ka "OCTA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 un EST 29.04.2021. spriedumu lietā C-383/19 , kur EST nosprieda, ka "OCTA ir obligāta gadījumā, ja attiecīgais transportlīdzeklis joprojām ir reģistrēts dalībvalstī, kamēr šis transportlīdzeklis nav likumīgi izņemts no aprites atbilstoši piemērojamajam valsts tiesiskajam regulējumam"). Līdz ar to tiek precizēts  likuma 9.2 panta nosaukums, grozījumi tiek piedāvāti 9.2 panta pirmajā un otrajā daļā, un 9.2 pants tiek papildināts ar divām jaunām daļām. Vienlaikus tiek precizēts, ka LTAB paziņojumu par līguma izbeigšanos nosūta uz LR reģistrēto  mobilo tālruņu numuriem. Ja klients būs norādījis LR nereģistrētu mobilo tālruņu numuru, informācija tiks sūtīta uz klienta norādīto e-pastu.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izslēgta  likuma 9.2 panta pirmās daļas 2. punktā minētā prasība par to, ka dati pēc to nosūtīšanas LTAB ir jādzēš. Dzēšot datus, apdrošinātājs nevar vairs pārliecināties, kādus datus tas nodevis LTAB, vai strīdā ar klientu par norādīto datu saturu nevar pierādīt to ko klients ir norādījis. Tas rada problēmas arī situācijās, kad pie tā paša apdrošinātāja tiek slēgts jauns līgums, piem.,  ik pēc mēneša, no klienta nākas prasīt datus vēlreiz, lai gan tie nav mainījušies, bet tā kā apdrošinātājam datu nav, tad tomēr tos no klienta prasa katru reizi, kas nav efektīvi. Prasības  par to, ka dati ir jādzēš,  izslēgšana nemazinās datu apstrādes standartu, jo jau šobrīd OCTA likuma 58.panta piektajā daļā ir noteikts, ka apdrošinātājs vai LTAB, iegūstot un apstrādājot fizisko personu datus, ievēro Fizisko personu datu apstrādes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paredzēts, ja apdrošināšanas līguma darbības laikā ir mainījusies klienta sniegtā informācija, apdrošinājuma ņēmējs par to informē apdrošinātāju, kas noslēdzis attiecīgo apdrošināšanas līgumu, bet apdrošinātājs informē LTAB.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klientiem mēdz mainīties e-pasti un  mobilā tālruņa numuri, un nav skaidrības,   kā tad kurš ir jāinformē, vieni klienti ziņo apdrošinātājiem, citi LTAB, tad attiecīgi likumā tiek paredzēts, ka klientiem vispirms jāpaziņo apdrošinātājam, un tad attiecīgi apdrošinātājs paziņo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9.2 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9.2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pants. Paziņošanai par apdrošināšanas līguma izbeigšanos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Paziņošanai par apdrošināšanas līguma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līguma slēgšanas brīdī apdrošinājuma ņēmējs norāda transportlīdzekļa īpašnieka vai — transportlīdzekļa līzinga gadījumā — transportlīdzekļa reģistrācijas apliecībā norādītā transportlīdzekļa turētāja un apdrošinājuma ņēmēja elektroniskā pasta adresi vai Latvijas Republikā reģistrēta mobilā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apdrošinātājs šīs daļas 1. punktā minētos datus pēc apdrošināšanas līguma noslēgšanas nosūta Transportlīdzekļu apdrošinātāju birojam.”;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un 3.punktā vārdus “mobilā tālruņa” ar vārdiem “Latvijas Republikā reģistrēta mobilā tālruņa”,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2.1 un 2.2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Tiklīdz apdrošināšanas līgums ir izbeidzies kādā no šā likuma 10. panta pirmajā daļā minētajiem gadījumiem vai beidzies apdrošināšanas līguma darbības termiņš,  un transportlīdzeklim nav spēkā cits apdrošināšanas līgums, Transportlīdzekļu apdrošinātāju birojs nosūta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apdrošinātājam, kas noslēdzis apdrošināšanas līgumu,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īpašniekam vai — transportlīdzekļa līzinga gadījumā — transportlīdzekļa reģistrācijas apliecībā norādītajam transportlīdzekļa turētājam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apdrošinājuma ņēmējam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apdrošināšanas līguma darbības laikā ir mainījusies šā panta pirmās daļas 1.punktā sniegtā informācija, apdrošinājuma ņēmējs par to informē apdrošinātāju, kas noslēdzis attiecīgo apdrošināšanas līgumu, bet apdrošinātājs informē Transportlīdzekļu apdrošinātāju biroju.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10.pantā, t.i., mainot likumprojekta  panta numerāciju no “6” uz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likumprojekta 10. pantu jaunā redakcijā (lūdzu skatīt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papildināt likuma 12.pantu ar trešo daļu, lai nodrošinātu atbilstību jaunajai OCTA direktīvai (ES) 2021/2118, kurā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LDDK ieskatā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10.pantā, t.i., mainot likumprojekta  panta numerāciju no “6” uz “10”, vienlaikus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“izmantošanas” ar vārdu “lietošanas”,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civiltiesiskās atbildības apdrošināšanas cenu salīdzināšanas instrumentā (turpmāk – cenu salīdzināšanas instruments), kas pieejams Transportlīdzekļu apdrošinātāju biroja tīmekļvietnē, ievadot Latvijas Republikā reģistrēta transportlīdzekļa reģistrācijas numuru un transportlīdzekļa reģistrācijas apliecības numuru, iespējams bez maksas salīdzināt apdrošinātāju piedāvātās īpašnieka civiltiesiskās atbildības obligātās apdrošināšanas prēmijas uz informācijas pieprasījuma brīdi.  Cenu salīdzināšanas instruments nav uzskatāms par apdrošināšanas izplatīšanas darbību Apdrošināšanas un pārapdrošināšanas izplatīšanas likuma izpratnē, un tajā nav iespējams noslēgt apdrošināšanas līgumu. Apdrošinātāja piedāvātās apdrošināšanas prēmijas cenu salīdzināšanas instrumentā ir informatīvas un nav saistošas apdrošinātājam, slēdzot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11.pantā, t.i., mainot likumprojekta  panta numerāciju no “7” uz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likumprojekta 11. pantu (attiecībā uz grozījumiem likuma 13.panta pirmajā daļā) jaunā redakcijā (lūdzu skatīt piedāvāto redakciju).  Grozījumu mērķis ir paredzēt, ka, slēdzot  apdrošināšanas līgumu, apdrošinātājs izvērtē iepriekšējo apdrošināšanas līgumu darbības laikā normatīvajos aktos noteiktajā kārtībā konstatēto gadījumu skaitu, kad transportlīdzeklis vadīts, izdarot administratīvus pārkāpumus (tajā skaitā tādus, par kuriem reģistrē pārkāpumu uzskaites punktus), neaprobežojoties tikai ar tiem administratīvajiem pārkāpumiem, par kuriem reģistrē pārkāpumu uzskaites punktus (jo, piem., pārkāpumu uzskaites punktus reģistrē, ja transportlīdzekli  aptur, ja pārkāpumu fiksē ar tehniskajiem līdzekļiem, pārkāpumu uzskaites punktus nepiemēro), kā arī paredzot, ka tiek ņemta vērā  izziņā par apdrošināšanas vēsturi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11.pantā, t.i., mainot likumprojekta  panta numerāciju no “7” uz “11”, vienlaikus  likuma 13.panta pirmo daļu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Noslēdzot apdrošināšanas līgumu, apdrošināšanas prēmijas apmērs transportlīdzekļa īpašniekam tiek noteikts, izvērtējot iepriekšējo apdrošināšanas līgumu darbības laikā izmaksāto apdrošināšanas atlīdzību skaitu, normatīvajos aktos noteiktajā kārtībā konstatēto gadījumu skaitu, kad transportlīdzeklis vadīts, izdarot administratīvus pārkāpumus (tajā skaitā tādus, par kuriem reģistrē pārkāpumu uzskaites punktus), un noziedzīgus nodarījumus pret satiksmes drošību, kā arī izvērtējot izziņā par apdrošināšanas vēsturi ietverto informāciju un citus risku ietekmējošus faktorus.”,"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14.pantā (izslēdzot likuma 14.panta otro, otro prim, trešo un ceturto daļu, kur šobrīd noteikts, kādos gadījumos,  slēdzot apdrošināšanas līgumu, tiek piemērotas OCTA atlaides (OCTA prēmijas samazinājums) un vienlaikus noteikts, kas šīs atlaides tiek kompensētas no OCTA GF),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14.pantā,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Izslēgt 14.panta otro, otro prim,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panta pirmajā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13.pantā, t.i., mainot likumprojekta  panta numerāciju no “8” uz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23.pantā,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likuma 23.panta otrajā daļā  aizstājot vārdus “cietušajam dzīvam” ar vārdiem “cietušajai personai dzīvai”.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23.pantā,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Aizstāt 23.panta otrajā daļā vārdus “cietušajam dzīvam ” ar vārdiem “cietušajai personai dzīvai”.".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astotajā daļā vārdu “izmantojis” ar vārdu “lietojis”.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15.pantā, t.i., mainot likumprojekta  panta numerāciju no “9” uz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grozījumi nepieciešami attiecībā uz vārda "cietušais" lietošanu likuma 31.pantā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15.pantā, t.i., mainot likumprojekta  panta numerāciju no “9” uz “15”, vienlaikus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31.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“katram cietušajam” ar vārdiem “katrai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astotajā daļā vārdu “izmantojis” ar vārdu “lietojis”."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“vairākiem cietušajiem” ar vārdiem “vairākām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“katra cietušā” ar vārdiem “katras trešās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18.pantā, t.i., mainot likumprojekta  panta numerāciju no “10” uz “18”, vienlaikus likuma 35.panta 5.punktā precizējama gramatikas kļūda vārdā "kartiba" uz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18.pantā, t.i., mainot likumprojekta  panta numerāciju no “10” uz “18”, vienlaikus precizējama gramatikas kļūda vārdā "kartiba" uz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likumu papildināt ar 50.2 pantu (cenu salīdzināšanas instrumenta izveide),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sarunās ar FM tika panākts konceptuāls atbalsts šāda rīka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LDDK ieskatā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likumu papildināt ar 50.2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likumu ar 50.2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pants. Cenu salīdzināšanas instruments[IG1]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12.panta trešajā daļā minētā cenu salīdzināšanas instrumenta turētājs ir  Transportlīdzekļu apdrošinātāju birojs, kas darbojas atbilstoši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Cenu salīdzināšanas instruments, kur bez maksas var salīdzināt apdrošinātāju piedāvātās īpašnieka civiltiesiskās atbildības obligātās apdrošināšanas prēmijas, uzskatāms par neatkarīgu mehānisko transportlīdzekļu apdrošināšanas cenu salīdzināšanas instrumentu,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darbojas neatkarīgi no apdrošinātājiem un nodrošina, ka apdrošinātājiem  meklēšanas rezultātos tiek nodrošināta 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precīzi norāda cenu salīdzināšanas instrumenta  turētāju un operatoru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precīzus un objektīvus kritērijus, kas ir salīdzināšanas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 vienkāršu un nepārprotamu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 precīzu un aktuālu informāciju un norāda, kad notikusi pēdējā atjaunināšana;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pieejams ikvienam apdrošinātājam, sniedz atbilstošu informāciju, aptver plašu piedāvājumu klāstu, kas aptvertu transportlīdzekļu apdrošināšanas nozīmīgu tirgus daļu, un gadījumos, kad uzrādītā informācija nesniedz pilnīgu minētā tirgus pārskatu, lietotāju nepārprotami par to informē, pirms rezultātu afišēšanas;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efektīvu procedūru, kā ziņot par nepareizu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 paziņojumu par to, ka cenu pamatā ir sniegtā informācija un ka tā nav saistoša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pirmajā daļā, nepieciešami  grozījumi - likuma 50.panta pirmo daļu papildināt ar 7. punktu, kurā būtu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LDDK ieskatā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pirmajā daļā, nepieciešami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apdrošinātāju, kuram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apdrošinātāju piedāvātajām īpašnieka civiltiesiskās atbildības obligātās apdrošināšanas prēmijām pēc apdrošinājuma ņēmēja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otrajā daļā, nepieciešams otro daļu papildināt ar atsauci uz likuma 50.panta pirmās daļas 7.punktu, kur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LDDK ieskatā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otrajā daļā,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šā panta pirmās daļas 1. un 4. punktā minēto informāciju sniedz pēc šajos punktos minēto personu rakstveida pieprasījuma saņemšanas. Šā panta pirmās daļas 2., 3. un 7.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paziņo arī Eiropas Ekonomikas zonas valsts garantiju fondiem (kompensācijas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22.pantā, t.i., mainot likumprojekta  panta numerāciju no “13” uz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22.pantā, t.i., mainot likumprojekta  panta numerāciju no “13” uz “22”.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transportlīdzeklis vai Eiropas Ekonomikas zonas valstī reģistrēts vai reģistrējams transportlīdzeklis, attiecībā uz kura īpašnieka civiltiesiskās atbildības obligātās apdrošināšanas Latvijas Republikā reģistrētu apdrošinātāju pasludināts maksātnespējas process vai uzsākta likvidācija;”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51.panta pirmās daļas 5. punktu nepieciešams precizēt, lai būtu saprotams, par kāda veida transportlīdzekļiem ir runa konkrētajā normā (lūdzu skatīt piedāvāto redakciju, piedāvātās izmaiņas pasvītrotas).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šādus grozījumus, zūd nepieciešamība OCTA likumā iekļaut jaunu definīciju "Eiropas Ekonomikas zonas transportlīdzeklis". Turklāt, kā jau minēts iepriekš, jaunā "Eiropas Ekonomikas zonas transportlīdzekļa" definīcija veido pretrunu ar jau spēkā esošo "transportlīdzekļa" definīciju (OCTA likuma 1.panta pirmās daļas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51.panta pirmās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transportlīdzeklis šā likuma izpratnē vai arī citas Eiropas Ekonomikas zonas valsts  transportlīdzeklis, attiecībā uz kura īpašnieka civiltiesiskās atbildības obligātās apdrošināšanas Latvijas Republikā reģistrētu apdrošinātāju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transportlīdzeklis vai Eiropas Ekonomikas zonas valstī reģistrēts vai reģistrējams transportlīdzeklis, attiecībā uz kura īpašnieka civiltiesiskās atbildības apdrošināšanas sabiedrību pasludināts maksātnespējas process vai uzsākta likvidācija un zaudējumi nodarīti Latvijas Republikas rezidentam;"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51.panta pirmās daļas 11. punktu nepieciešams precizēt, lai būtu saprotams, par kāda veida transportlīdzekļiem ir runa konkrētajā normā (lūdzu skatīt piedāvāto redakciju, piedāvātās izmaiņas pasvītrotas).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šādus grozījumus, zūd nepieciešamība OCTA likumā iekļaut jaunu definīciju "Eiropas Ekonomikas zonas transportlīdzeklis". Turklāt, kā jau minēts iepriekš, jaunā "Eiropas Ekonomikas zonas transportlīdzekļa" definīcija veido pretrunu ar jau spēkā esošo "transportlīdzekļa" definīciju (OCTA likuma 1.panta pirmās daļas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51.panta pirmās daļas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transportlīdzeklis šā likuma izpratnē vai arī citas Eiropas Ekonomikas zonas valsts  transportlīdzeklis, attiecībā uz kura īpašnieka civiltiesiskās atbildības apdrošināšanas sabiedrību pasludināts maksātnespējas process vai uzsākta likvidācija  un zaudējumi nodarīti Latvijas Republikas rezidentam.”.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51.pantā nepieciesami vēl šādi grozījumi (lūdzu skatīt arī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izslēgt  likuma 51.panta trešās daļas 2.punktu, kur šobrīd noteikts, ka no GF tiek segta kompensācija apdrošinātājam par apdrošināšanas prēmijas maksājuma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OCTA likuma 51.panta devītajā daļā noteikts, ka GF izveidošanas, uzkrāšanas un administrēšanas kārtību nosaka Ministru kabinets. Šī norma būtu precizējama, pasakot, ka arī atskaitījumu kārtību GF-ā nosaka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AAS likvidācijas/maksātnespējas gadījumā pārrobežu gadījumos, jo par maksātnespējas/likvidācijas risku GF finansējumu var prasīt tikai no LV reģistrētajām AAS. Apsverams jautājums, vai grozījumi nav nepieciešami arī OCTA likuma 51.panta devītajā daļā, kas paredz MK izdot noteikumus. Izvērtējams, vai šeit nebūtu jāparedz, ka MK ir tiesības noteikt atskaitījumu GF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51.panta grozījumus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Garantijas fonda izveidošanas, uzkrāšanas un administrēšanas kārtību, kā arī apdrošinātāju iemaksu apmēru nosaka Ministru kabinets. Garantijas fonda izveidošanas, uzkrāšanas un administrēšanas kārtības ievērošanu uzrauga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54. panta otrās daļas 3. punktu pēc vārda “cietušo” ar vārdu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54.panta otrās daļas 3.punktā jāprecizē vārda “cietušais" lietojums -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nepieciešams papildināt ar jauniem pantiem, kas paredz veikt grozījumus likuma 54., 57. un 58.pantā,  attiecīgi mainot likumprojekta esošo pantu numerāciju (lūdzu skatīt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54.panta otrās daļas 3.punktā jāprecizē vārda “cietušais" lietojums -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57.panta otrajā daļā jāizslēdz 2.teikums, kas nosaka, kā tiek aprēķināta parakstītā apdrošināšanas prēmija tajos gadījumos, kad tiek piemērotas OCTA likuma 14.pantā noteiktās OCTA atlaides.  -   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 atbilstoši OCTA direktīvas 2009/103/EK prasībām.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57.panta otrajā daļā jāizslēdz 2.teikums, kas nosaka, kā tiek aprēķināta parakstītā apdrošināšanas prēmija tajos gadījumos, kad tiek piemērotas OCTA likuma 14.pantā noteiktās OCTA atlaides.  -   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 atbilstoši OCTA direktīvas 2009/103/EK prasībām.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58.panta pirmo daļu  nepieciešams precizēt, paskaidrojot, kas domāts ar OCTA likumā lietoto terminoloģiju "OCTA informācijas sistēma", paskaidrojot, ka tikai OCTA likuma izpratnē apdrošinātāju, LTAB, Ceļu satiksmes drošības direkcijas, Valsts tehniskās uzraudzības aģentūras, Autotransporta direkcijas, Iekšlietu ministrijas un citu institūciju informācijas sistēmas un reģistri kopā tiek apzīmēti kā sauszemes transportlīdzekļu īpašnieku civiltiesiskās atbildības obligātās apdrošināšanas informācijas sistēma, t.i., ka šī sistēma praksē neeksistē kā viena vienota informācijas sistēma, kurai  būtu nepieciešmas noteikt vienotu sistēmas pārzini.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FM un LTAB sanāksmē š.g. augustā, kas attiecās uz jau Saeimā iesniegtajiem OCTA likuma grozījumiem,  tika panākta vienošanās, ka visā likumā “OCTA informācijas sistēma” jāaizstāj ar vārdiem “OCTA darbība”, lai varētu teikt, ka datus nodot nevis OCTA informācijas sistēmai, bet gan - ka  nodod OCTA darbībai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virzās šādi, tad jāgroza vairāki likuma panti, turklāt, ne visos pantos var lietot “OCTA darbībai nepieciešamos datus”, un tad jālieto “datus nodod LTAB”, kā arī grozījumi veicami likuma 58.panta trešajā daļā, kas paredz deleģējumu MK izdot MK not. Ja groza deleģējuma normu, tad par jaunu jāizdod paši noteikumi, t.i., MK not. 801 par OCTA informācijas sistēmu vietā jāizdod jauni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jāsaprecizē tā, lai termins “OCTA informācijas sistēma” paliek, bet lai  būtu saprotams, ka šāda sistēma ir tikai sistēma nosaukuma (labākas uztveramības) pēc OCTA likuma izpratnē. Piedāvājam likuma 58.panta pirmā daļā iekļaut nelielu papildinājumu "šā likuma izpratnē kopā tiek apzīmēti kā", kā arī izslēgt paskaidrojumu "strukturētu informācijas tehnoloģiju un datubāzu kopumu" (lūdzu skatīt piedāvāto redakciju).  Šādi rīkojoties, tad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jauniem pantiem, kas paredz veikt grozījumus likuma 54., 57. un 58.pantā,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Papildināt 54.panta otrās daļas 3.punktu pēc vārda “cietušo” ar vārdu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Izslēgt 57.panta otrās daļas 2.teikumu.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izteikt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šā likuma izpratnē kopā tiek apzīmēti kā sauszemes transportlīdzekļu īpašnieku civiltiesiskās atbildības obligātās apdrošināšanas informācijas sistēma  (turpmāk –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un 28.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27.pantā, t.i., mainot likumprojekta  panta numerāciju no “15” uz “27”, vienlaikus pārejas noteikumus izsakot jaunā redakcijā (lūdzu skatīt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precizēti, lai atsevišķiem grozījumiem noteiktu vēlāku spēkā stāšanās laiku.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27.pantā, t.i., mainot likumprojekta  panta numerāciju no “15” uz “27”, vienlaikus pārejas noteikumus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Papildināt pārejas noteikumus ar 27., 28., 29., 30, 31. un 32.punktu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 panta pirmās daļas 8.2 punkts, grozījumi 13. panta pirmajā daļā, 13. panta 1.1 daļa un grozījumi 50. panta pirmās daļas 1. punktā  stājas spēkā 2024. gada 23.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Grozījumi  šā likuma 4.1 pantā attiecībā uz pirmās un otrās daļas izslēgšanu un trešās daļas precizēšanu, 7.panta pirmajā daļā, 8.panta pirmās un trešās daļas izslēgšanu un 9.panta ceturtās daļas 1.teikuma precizēšanu stājas spēkā 2024.gada 1.julijā.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šā likuma 9.2 pantā stājas spēkā 2024. gada 1. aprīlī un piemērojami apdrošināšanas līgumiem, kas noslēgti, sākot ar 2024. gada 1.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Grozījumi šā likuma 12.pantā attiecībā uz panta papildināšanu ar trešo daļu, 50.panta pirmajā daļā attiecībā uz daļas papildināšanu ar 7.punktu  un otrajā daļā ar  atsauci uz  pirmās daļas 7.punktu un 50.2 pants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šā likuma 14.pantā attiecībā uz otrās, otrās prim, trešās un ceturtās daļas izslēgšanu, grozījumi šā likuma 51.pantā attiecībā uz trešās daļas 2.punkta izslēgšanu un grozījumi 57.pantā attiecībā uz otrās daļas 2.teikuma izslēgšanu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06.10.2023.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06.10.2023.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