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26. septembra noteikumos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iekļaujot skaidrojumu par to, kā tiek noteikts statistikas laika periods (piemēram, pēdējais ceturksnis, pusgads vai gads) un ģeogrāfiskais reģions (piemēram, Latvijas, Rīgas vai nodarbinātā reģiona vidējais rādītājs) gadījumos, kad vidējā darba samaksa tiek aprēķināta, izmantojot Centrālās statistikas pārvaldes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integrācijas fonda īstenotā projekta īstenošana ir uzsākta, lūdzam papildināt anotācijas 1.3.sadaļu "Pašreizējā situācija, problēmas un risinājumi" ar informāciju par to, vai Ministru kabineta 2023. gada 26. septembra noteikumu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(turpmāk – MK noteikumi) grozījumiem ir ietekme uz finansējuma saņēmēja veiktajiem un sadarbības iestādei ar maksājuma pieprasījumiem iesniegtajiem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"Pašreizējā situācija, problēmas un risinājumi" apakšsadaļā "Problēmas apraksts" ietverto informāciju "</w:t>
            </w:r>
            <w:r w:rsidR="00000000" w:rsidRPr="00000000" w:rsidDel="00000000">
              <w:rPr>
                <w:i w:val="1"/>
                <w:rtl w:val="0"/>
              </w:rPr>
              <w:t xml:space="preserve">Saskaņā ar Ministru kabineta noteikumu projektu, kas regulēs 4.3.4.9. pasākuma īstenošanu un šobrīd Tiesību aktu portālā ir saskaņošanas procesā (24-TA-1536), projekta vadības un īstenošanas personāla izmaksas tiek plānotas saskaņā ar finansējuma saņēmēja un sadarbības partnera atlīdzības sistēmā noteikto samaksu. Gan finansējuma saņēmējs, gan sadarbības partneri 4.3.4.9. pasākumā ir biedrības un nodibinājumi. Tādējādi, ja 4.3.4.5. pasākumā personāla izmaksu attiecināšanai tiktu saglabāts vienkāršoto izmaksu princips, tad viena Eiropas Sociālā fonda Plus stratēģiskā atbalsta mērķa ietvaros vienam un tam pašam finansējuma saņēmējam, kas turklāt ir biedrība ar 10–12 nodarbinātajiem, būtu jāpiemēro divi atšķirīgi personāla izmaksu attiecināšanas principi</w:t>
            </w:r>
            <w:r w:rsidR="00000000" w:rsidRPr="00000000" w:rsidDel="00000000">
              <w:rPr>
                <w:rtl w:val="0"/>
              </w:rPr>
              <w:t xml:space="preserve">", jo izmaksu attiecināšanas veids starp dažādiem pasākumiem var būtu atšķirīgs objektīvu apsvērumu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19.1.4. personāla veselības apdrošināšanas izmaksas un redzes korekcijas līdzekļu kompensācijas izmaksas, ja tās nav iekļautas veselības apdrošināšanā.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iespēju MK noteikumu 19.1.4.apakšpunktā noteiktās redzes korekcijas līdzekļu izmaksas administratīvā sloga mazināšanas nolūkos segt no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 apmērā no šo noteikumu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apakšpunktā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 1.2. "Vadlīnijas attiecināmo izmaksu noteikšanai Eiropas Savienības kohēzijas politikas programmas 2021.-2027.gada plānošanas periodā" 8.3. apakšpunktā noteikto, netiešo izmaksu likme 15 % apmērā nevar tikt rēķināta no uzņēmuma (pakalpojuma) līgumiem, līdz ar to lūdzam precizēt MK noteikumu 20.punktu, papildinot to ar nosacījumu, ka netiešo izmaksu likme tiek rēķināta no izmaksām, kas radušās uz darba līguma vai rīkojuma, ieceļot pretendentu ierēdņa amatā,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18.2. apakšpunktā minētās netiešās attiecināmās izmaksas plāno kā vienu izmaksu pozīciju, piemērojot netiešo izmaksu vienoto likmi 15 % apmērā no šo noteikumu 19.1.1. un 19.1.2. apakšpunktā minētajām tiešajām attiecināmajām personāla izmaksām, kas radušās uz darba līguma vai rīkojuma, ieceļot pretendentu ierēdņa amatā, pamata,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nodrošina interešu konflikta neesību saskaņā ar Eiropas Parlamenta un Padomes 2018. gada 18. jūlija </w:t>
            </w:r>
            <w:r w:rsidR="00000000" w:rsidRPr="00000000" w:rsidDel="00000000">
              <w:rPr>
                <w:rtl w:val="0"/>
              </w:rPr>
              <w:t xml:space="preserve">Regulas (ES, Euratom)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26.6. apakšpunktā precizēt regulas atsauci,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nodrošina interešu konflikta neesību saskaņā ar Eiropas Parlamenta un Padomes 2024. gada 23. septembra Regulas (ES, Euratom) 2024/2509 par finanšu noteikumiem, ko piemēro Savienības vispārējam budžetam (pārstrādāta redakcija) 61. panta prasībām, tai skaitā paraksta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17.12.2024.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17.12.2024.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Atzinumi_24-TA-1316.docx</dc:title>
</cp:coreProperties>
</file>

<file path=docProps/custom.xml><?xml version="1.0" encoding="utf-8"?>
<Properties xmlns="http://schemas.openxmlformats.org/officeDocument/2006/custom-properties" xmlns:vt="http://schemas.openxmlformats.org/officeDocument/2006/docPropsVTypes"/>
</file>