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iespēju veicināt finanšu iestāžu (piem.banku) un sociālo investoru līdzdalību sociālās ekonomikas finansēšanā, piedāvājot fiskālos stimulus, mazinot regulatīvos šķēršļus, un piesaistot publiskos līdzekļus, lai novērstu privātā finansējuma risku, un izstrādājot jauktus mehānismus, kas apvieno valsts un privātās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sociālās nozares atpazīstamību, ierosinām vākt statistiku par sociālo ekonomiku, kas pārsniedz tradicionālos rādītājus, un papildus sociālās ekonomikas ieguldījumam ekonomikas izaugsmē un darba vietu radīšanā būtu sistemātiski jāmēra un jāuzrāda sociālās ekonomikas ietekme uz vidi un sociālo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15.05.2024. 08.45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15.05.2024. 08.45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Atzinumi_23-TA-1220.docx</dc:title>
</cp:coreProperties>
</file>

<file path=docProps/custom.xml><?xml version="1.0" encoding="utf-8"?>
<Properties xmlns="http://schemas.openxmlformats.org/officeDocument/2006/custom-properties" xmlns:vt="http://schemas.openxmlformats.org/officeDocument/2006/docPropsVTypes"/>
</file>