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un piesardzīgas antibiotiku lietošanas plāns “Viena veselība”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Rīcības virziena “Institūciju sadarbības stiprināšana AMR jomā” 5.5. pasākumā “Uzlabot dzīvnieku veselības un sabiedrības veselības sadarbību zoonožu un to ierosinātāju AMR jomā, lai samazinātu AML lietošanu” līdzatbildīgo institūciju uzskaitījumā lūdzam dzēst Vides aizsardzības un reģionālās attīstības ministriju (turpmāk - VARAM), jo pasākuma tvērums nav VARAM kompetences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Rīcības virziena “Institūciju sadarbības stiprināšana AMR jomā” 5.4. pasākumā “Nodrošināt regulāru, visaptverošu situācijas analīzi AMR jomā, tai skaitā ietverot Eirobarometra AMR pētījumu rezultātus” līdzatbildīgo institūciju uzskaitījumā lūdzam dzēst Vides aizsardzības un reģionālās attīstības ministriju (turpmāk – VARAM), jo VARAM kompetences jomā netiek veikta datu uzskaite, apkopošana un analīze par antimikrobiālo rezistenci.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05.04.2023.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05.04.2023.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Atzinumi_22-TA-2077.docx</dc:title>
</cp:coreProperties>
</file>

<file path=docProps/custom.xml><?xml version="1.0" encoding="utf-8"?>
<Properties xmlns="http://schemas.openxmlformats.org/officeDocument/2006/custom-properties" xmlns:vt="http://schemas.openxmlformats.org/officeDocument/2006/docPropsVTypes"/>
</file>