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22-TA-2915: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 jūnija noteikumos Nr. 279 "Ceļu satiksmes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w:t>
            </w:r>
            <w:r w:rsidR="00000000" w:rsidRPr="00000000" w:rsidDel="00000000">
              <w:rPr>
                <w:shd w:fill="#ffffff" w:val="clear"/>
                <w:rtl w:val="0"/>
              </w:rPr>
              <w:t xml:space="preserve">Papildināt noteikumus ar 179.</w:t>
            </w:r>
            <w:r w:rsidR="00000000" w:rsidRPr="00000000" w:rsidDel="00000000">
              <w:rPr>
                <w:shd w:fill="#ffffff" w:val="clear"/>
                <w:vertAlign w:val="superscript"/>
                <w:rtl w:val="0"/>
              </w:rPr>
              <w:t xml:space="preserve">1 </w:t>
            </w:r>
            <w:r w:rsidR="00000000" w:rsidRPr="00000000" w:rsidDel="00000000">
              <w:rPr>
                <w:shd w:fill="#ffffff" w:val="clea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hd w:fill="#ffffff" w:val="clear"/>
                <w:rtl w:val="0"/>
              </w:rPr>
              <w:t xml:space="preserve">“179.</w:t>
            </w:r>
            <w:r w:rsidR="00000000" w:rsidRPr="00000000" w:rsidDel="00000000">
              <w:rPr>
                <w:shd w:fill="#ffffff" w:val="clear"/>
                <w:vertAlign w:val="superscript"/>
                <w:rtl w:val="0"/>
              </w:rPr>
              <w:t xml:space="preserve">1</w:t>
            </w:r>
            <w:r w:rsidR="00000000" w:rsidRPr="00000000" w:rsidDel="00000000">
              <w:rPr>
                <w:shd w:fill="#ffffff" w:val="clear"/>
                <w:rtl w:val="0"/>
              </w:rPr>
              <w:t xml:space="preserve">  Transportlīdzekļa sastāvam ar puspiekabi un piekabi ir atļauts piedalīties ceļu satiksmē, ja ir saņemta attiecīgā lielgabarīta un smagsvara pārvadājuma atļauja.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2010. gada 6. aprīļa noteikumi Nr. 343 "Noteikumi par lielgabarīta un smagsvara pārvadājumiem" (turpmāk – noteikumi Nr. 343 nosaka kārtību, kādā piešķir atļauju un kārtību, kādā tiek veikti šie pārvadājumi.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noteikumu Nr. 343 (ar grozījumiem, kas stāsies spēkā 2024.gada 1. janvārī (22-TA-2427)) 13.3. apakšpunkts tostarp noteic, ka Valsts akciju sabiedrība "Latvijas Valsts ceļi" izvērtē atļaujas pieteikumu un, ja nepieciešams, saskaņo pārvadājuma maršrutu, izņemot 37. punktā minēto gadījumu, proti, atļauju izsniedz transportlīdzekļu sastāvam, kas sastāv no mehāniska transportlīdzekļa, puspiekabes un piekabes un kurš pārvadā dalāmu kravu, ja tam ir vismaz astoņas asis, dzinēja jauda ir vismaz 400 ZS vai 290 kW un ja tā parametri nepārsniedz faktisko masu 60 t; garumu 25,25 m; piekabes garumu 7,82 m; puspiekabes garumu 13,6 m. Bet noteikumu Nr. 343 38.6 punkts noteic, ka šo noteikumu 37. punktā minēto atļauju uz noteiktu termiņu var izsniegt tikai pārvadājumiem pa valsts galvenajiem autoceļiem un valsts galveno autoceļu maršrutos ietilpstošajām tranzīta 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Nr. 343 19. punkts noteic, ka maršruta papildu izpēte ir nepieciešama, ja transportlīdzekļa vai transportlīdzekļu sastāva parametri (izņemot šo noteikumu 37. punktā minēto gadījumu) pārsniedz garumu 24 m; platumu 5 m; augstumu 5 m; kopējo masu 52 t; ass slodzi 13 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punkts paredz Ministru kabineta 2015. gada 2. jūnija noteikumu Nr. 274 “Ceļu satiksmes noteikumi” (turpmāk – noteikumi Nr. 274) 180.8. apakšpunktu izteikt jaunā redakcijā, proti, ka aizliegts vilkt vairāk par vienu piekabi, izņemot šo noteikumu 179. punktā un 179.1 minēto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atbilstoši projektā noteiktajam, būs atļauts vilkt divas piekabes – traktortehniku ar pilnu masu virs 4000 kg un transportlīdzekļa sastāvu ar puspiekabi un piekabi, ja ir saņemta attiecīgā lielgabarīta un smagsvara pārvadājuma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saņemtu lielgabarīta pārvadājuma atļauju, tiek ņemti vērā noteikumu Nr. 274 2. pielikumā norādītie parametri.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Ceļu satiksmes likuma 4. panta ceturtajai daļai, Valsts policija saskaņā ar likumu "Par policiju" nodrošina kārtību uz ceļiem, regulē transportlīdzekļu un gājēju kustību, veic satiksmes uzraudzību, kontrolē ceļu stāvokli, kā arī satiksmes organizācijas tehnisko līdzekļu un transportlīdzekļu tehnisko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Valsts policijai, veicot transportlīdzekļu pārvadājumu kontroli (transportlīdzeklim ar divām piekabēm) uz ceļa un tos apturot, būs neiespējami kvalificēt pārkāpumu, ja tam, piemēram, nebūs atļaujas vai arī būs pārkāpts viens no transportlīdzekļa parametriem. Tādējādi Valsts policijai faktiski būs liegta iespēja noteikt, vai atļaujas neesamība ir pārkāpums, kā arī konkrēta soda piemērošana nebūs iespējama, ja nebūs iespējams aprēķināt, piemēram, par cik tonnām tiek pārkāpts pieļaujamais svars vai par cik metriem – garums.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atkārtoti norādām, ka, ja projekta 12. punkts paredz papildināt noteikumus Nr. 274 ar jaunu 179.1 punktu nosakot, ka transportlīdzekļa sastāvam ar divām piekabēm (puspiekabi un piekabi) ir atļauts piedalīties ceļu satiksmē, ja ir saņemta attiecīgā lielgabarīta un smagsvara pārvadājuma atļauja, tad attiecīgi ir papildināms arī noteikumu Nr. 274 2. pielikums, piemēram, ar 1.4.1 apakšpunktu, nosakot, ka "transportlīdzekļu sastāviem, kas sastāv no automobiļa ar divām piekabēm (puspiekabe un piekabe) pieļaujamais garums nepārsniedz 25,25 m. Attiecīgi būtu papildināmi arī citi 2. pielikuma apakšpunkti par kopējo masu, platumu un ass slodzi, kā arī starpasu attālums.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projektā transportlīdzekļa sastāvam ar divām piekabēm (puspiekabi un piekabi) nav paredzēts noteikt atsevišķus gabarītu un svara lielumus, tad tas ir norādāms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punktā ietvertajā noteikumus Nr. 274 179.1 punktā un projekta anotācijā, proti, ka noteikumu Nr. 274 2.pielikumā ietvertie lielumi ir attiecināmi arī uz sastāviem ar divām piekabēm, kas nozīmē, ka visiem šādiem lielgabarīta un smagsvara pārvadājumiem sastāviem būs jāsaņem lielgabarīta vai smagsvara atļauja, lai Valsts policijas amatpersonām, kuras veic kontroli uz ceļa, tas būtu nepārprotami skaidrs, jo pašlaik no projekta tas nav saprotams.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Ministru kabineta 2010. gada 2. februāra noteikumos Nr. 103 "Transportlīdzekļu vadītāja tiesību iegūšanas un atjaunošanas kārtība un vadītāja apliecības izsniegšanas, apmaiņas, atjaunošanas un iznīcināšanas kārtība" pašlaik nav paredzēts saņemt transportlīdzekļa vadītāja tiesības par transportlīdzekļa vadīšanu ar divām piekabēm.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Papildināt noteikumus ar 200.1.4.</w:t>
            </w:r>
            <w:r w:rsidR="00000000" w:rsidRPr="00000000" w:rsidDel="00000000">
              <w:rPr>
                <w:vertAlign w:val="superscript"/>
                <w:rtl w:val="0"/>
              </w:rPr>
              <w:t xml:space="preserve"> </w:t>
            </w:r>
            <w:r w:rsidR="00000000" w:rsidRPr="00000000" w:rsidDel="00000000">
              <w:rPr>
                <w:rtl w:val="0"/>
              </w:rPr>
              <w:t xml:space="preserve">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hd w:fill="#ffffff" w:val="clear"/>
                <w:rtl w:val="0"/>
              </w:rPr>
              <w:t xml:space="preserve">"200.1.4. vietā, kur neveic darbus uz ceļa, nav ierobežojumi ar noteiktu darbības laiku un nav dzīvojamā zona, lai brauktu pa braukšanas joslu visā tās platumā uz ceļiem, kur atļautais braukšanas ātrums nepārsniedz 30 km/h.".</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 un precizēt projekta 14.punktā paredzēto Noteikumu 200.1.4.apakšpunktu.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 piedāvātajā redakcijā var radīt konfliktsituācijas starp velosipēdu vadītājiem un pārējiem transportlīdzekļu vadītājiem, kas var rezultēties ceļu satiksmes negadījumos vai sabiedriskās kārtības pārkāpumos.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šobrīd paredz, ka uz ceļiem, kur atļautais braukšanas ātrums nepārsniedz 30 km/h, velosipēda vadītājs var braukt pa braukšanas joslu visā tās platumā. Vēršam uzmanību, ka, piemēram, Baložu pilsētas centrā Rīgas ielā ir noteikts maksimālais braukšanas ātrums 30 km/h. Minētā iela ir Baložu pilsētas maģistrālā iela pa kuru ar diezgan augstu intensitāti brauc gan sabiedriskais transports, gan kravas transports, gan arī transports tranzītā (iela savieno autoceļus A7 un A8). Ja pa šo ielu būs atļauts visā braukšanas joslas platumā braukt ar velosipēdiem, ņemot vērā transportlīdzekļu vadītāju savstarpējās kultūras līmeni, var prognozēt negadījumu skaita pieaugumu šajā ceļa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šo normu vismaz papildināt ar nosacījumu, ka velosipēda vadītājs var braukt pa braukšanas joslu visā tās platumā, nepamatoti netraucējot citu transportlīdzekļu braukšanu.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Noteikumu 212.</w:t>
            </w:r>
            <w:r w:rsidR="00000000" w:rsidRPr="00000000" w:rsidDel="00000000">
              <w:rPr>
                <w:vertAlign w:val="superscript"/>
                <w:rtl w:val="0"/>
              </w:rPr>
              <w:t xml:space="preserve">2 </w:t>
            </w:r>
            <w:r w:rsidR="00000000" w:rsidRPr="00000000" w:rsidDel="00000000">
              <w:rPr>
                <w:rtl w:val="0"/>
              </w:rPr>
              <w:t xml:space="preserve">punkta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w:t>
            </w:r>
            <w:r w:rsidR="00000000" w:rsidRPr="00000000" w:rsidDel="00000000">
              <w:rPr>
                <w:vertAlign w:val="superscript"/>
                <w:rtl w:val="0"/>
              </w:rPr>
              <w:t xml:space="preserve">2 </w:t>
            </w:r>
            <w:r w:rsidR="00000000" w:rsidRPr="00000000" w:rsidDel="00000000">
              <w:rPr>
                <w:rtl w:val="0"/>
              </w:rPr>
              <w:t xml:space="preserve">Elektroskrejriteņu vadītājiem jābrauc ar ātrumu, kas neapdraud ceļu satiksmes drošību, bet nepārsniedzot 25 km/h.””</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konceptuāli atbalsta priekšlikumu Noteikumos  paredzēt, ka elektroskrejriteņu maksimālais braukšanas ātrums nedrīkst pārsniegt 25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piedāvātais risinājums jāskaņo ar Noteikumu 9.nodaļā noteikto. Piemēram, Noteikumu 101.punktā šobrīd noteikts, ka apdzīvotās vietās </w:t>
            </w:r>
            <w:r w:rsidR="00000000" w:rsidRPr="00000000" w:rsidDel="00000000">
              <w:rPr>
                <w:u w:val="single"/>
                <w:rtl w:val="0"/>
              </w:rPr>
              <w:t xml:space="preserve">visu</w:t>
            </w:r>
            <w:r w:rsidR="00000000" w:rsidRPr="00000000" w:rsidDel="00000000">
              <w:rPr>
                <w:rtl w:val="0"/>
              </w:rPr>
              <w:t xml:space="preserve"> transportlīdzekļu braukšanas ātrums nedrīkst pārsniegt 50 km/h, bet dzīvojamās zonās, daudzdzīvokļu namu pagalmos, degvielas uzpildes staciju un stāvvietu teritorijās – 20 km/h.  Turklāt Noteikumu 104.1.apakšpunkts paredz, ka transportlīdzekļa vadītājam aizliegts pārsniegt transportlīdzekļa izgatavotāja noteikto maksimālo braukšanas ātrumu.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izvērtēt iespēju elektroskrejriteņu maksimālo braukšanas ātrumu noteikt Noteikumu 9.nodaļā, nevis noteikumu 212.</w:t>
            </w:r>
            <w:r w:rsidR="00000000" w:rsidRPr="00000000" w:rsidDel="00000000">
              <w:rPr>
                <w:vertAlign w:val="superscript"/>
                <w:rtl w:val="0"/>
              </w:rPr>
              <w:t xml:space="preserve">2</w:t>
            </w:r>
            <w:r w:rsidR="00000000" w:rsidRPr="00000000" w:rsidDel="00000000">
              <w:rPr>
                <w:rtl w:val="0"/>
              </w:rPr>
              <w:t xml:space="preserve"> punktā,  un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Izteikt 2.pielikuma 8.13. un 8.14.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transportlīdzekļu sastāviem ar puspiekabi, kas sastāv no divasu vilcēja un trīsasu puspiekabes, kurš, veicot intermodālu pārvadājumu darbības, pārvadā vienu vai vairākus konteinerus vai maināmas virsbūves, kuru maksimālais kopējais garums ir līdz 45 pēdām vai kombinētu pārvadājumu, lai sasniegtu tuvāko attiecīgajam pakalpojumam piemēroto transporta termināli Latvijas teritorijā, pārvadājumu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transportlīdzekļu sastāviem ar puspiekabi, kas sastāv no trīsasu vilcēja un divasu vai trīsasu puspiekabes, kurš, veicot intermodālu pārvadājumu darbības, pārvadā vienu vai vairākus konteinerus vai maināmas virsbūves, kuru maksimālais kopējais garums ir līdz 45 pēdām vai kombinētu pārvadājumu, lai sasniegtu tuvāko attiecīgajam pakalpojumam piemēroto transporta termināli Latvijas teritorijā, pārvadājumu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279 2. pielikuma 19. punktā norādīts, ka maksimālos garumus, kas noteikti šā pielikuma 1. punktā, ievērojot, ka netiek radīts transportlīdzekļu vai transportlīdzekļu sastāvu kravietilpības palielinājums, var pārsniegt transportlīdzekļi vai transportlīdzekļu sastāvi, kuriem ir atbilstoši Komisijas 2012. gada 12. decembra Regulas (ES) Nr. 1230/2012, ar ko īsteno Eiropas Parlamenta un Padomes Regulu (EK) Nr. 661/2009 par tipa apstiprināšanas prasībām attiecībā uz mehānisko transportlīdzekļu un to piekabju masu un gabarītiem un groza Eiropas Parlamenta un Padomes Direktīvu 2007/46/EK I pielikumam izgatavotas kabīnes, kas uzlabo to aerodinamikas rādītājus, energoefektivitāti un drošības rādītājus. Minēto atbilstību apliecina uz transportlīdzekļa izgatavotāja plāksnītes norādīta attiecīga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 regula no 2022. gada 5. jūlija vairs nav spēkā un ir atcelta (ES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32019R2144 ) ar Eiropas Parlamenta un Padomes Regula (ES) 2019/2144 (2019. gada 27. novembris) par prasībām mehānisko transportlīdzekļu un to piekabju un šiem transportlīdzekļiem paredzētu sistēmu, sastāvdaļu un atsevišķu tehnisko vienību tipa apstiprināšanai attiecībā uz to vispārīgo drošību un transportlīdzekļa braucēju un neaizsargāto ceļu satiksmes dalībnieku aizsardzību, ar ko groza Eiropas Parlamenta un Padomes Regulu (ES) 2018/858 un atceļ Eiropas Parlamenta un Padomes Regulas (EK) Nr. 78/2009, (EK) Nr. 79/2009 un (EK) Nr. 661/2009 un Komisijas Regulas (EK) Nr. 631/2009, (ES) Nr. 406/2010, (ES) Nr. 672/2010, (ES) Nr. 1003/2010, (ES) Nr. 1005/2010, (ES) Nr. 1008/2010, (ES) Nr. 1009/2010, (ES) Nr. 19/2011, (ES) Nr. 109/2011, (ES) Nr. 458/2011, (ES) Nr. 65/2012, (ES) Nr. 130/2012, (ES) Nr. 347/2012, (ES) Nr. 351/2012, (ES) Nr. 1230/2012 un (ES) 2015/166.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nepieciešams papildināt projektu un anotāciju, kā arī izvērtēt vai esošas normas ir atbilstošas jaunajai regulai.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punkts paredz papildināt noteikumus Nr. 279 ar jaunu 179.</w:t>
            </w:r>
            <w:r w:rsidR="00000000" w:rsidRPr="00000000" w:rsidDel="00000000">
              <w:rPr>
                <w:vertAlign w:val="superscript"/>
                <w:rtl w:val="0"/>
              </w:rPr>
              <w:t xml:space="preserve">1</w:t>
            </w:r>
            <w:r w:rsidR="00000000" w:rsidRPr="00000000" w:rsidDel="00000000">
              <w:rPr>
                <w:rtl w:val="0"/>
              </w:rPr>
              <w:t xml:space="preserve"> punktu nosakot, ka transportlīdzekļa sastāvam ar puspiekabi un piekabi ir atļauts piedalīties ceļu satiksmē, ja ir saņemta attiecīgā lielgabarīta un smagsvara pārvadājuma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1.3. sadaļā nav norādīts problēmas apraksts un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anotācijas 1.3. sadaļu ar pamatojumu un skaidrojumu, kāpēc ceļu satiksmē nepieciešams piedalīties transportlīdzeklim ar divām piekabēm, kā arī norādīt nosacījumus, kas būs jāievēro transportlīdzeklim ar divām piekabēm un, vai tas neradīs riskus ceļu satiksmes drošībai.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25.9.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“25.9. pakļauties kompetentās iestādes amatpersonu veiktajām pārbaudēm, tām veicot normatīvajos aktos noteiktās uzraudzības un kontroles funkcijas, tai skaitā policijas, Valsts tehniskās uzraudzības aģentūras vai muitas darbinieka prasībai nogādāt transportlīdzekli kontroles veikšanas vietā, kā arī nodot transportlīdzekli minēto kontroļu veikšanai, ļaut veikt šo noteikumu 218., 219. un 220. punktā minētā aprīkojuma apskati.”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7.punktā paredzētajā Noteikumu 25.9.apakšpunktā atsauci uz Noteikumu 220.punktu, jo minētais punkts ir svītrots (skat. MK 22.08.2017. noteikumus Nr. 496).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Papildināt noteikumus ar 200.7. un 200.8.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 braukt pa pretējā virziena brauktuvi;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210.8. braukt pa velojoslu pretēji kustības virzienam blakus esošajā brauktuvē, izņemot gadījumus, kad velojosla atdalīta no pārējās brauktuves ar 920. vai 925. ceļu apzīmējumu vai ar paaugstinātu apmali un attiecīgais braukšanas virziens ir norādīts ar 937. ceļa apzīmējumu.".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17.punktu, aizstājot apakšpunktu numerācijas skaitli "200.7." ar  skaitli "210.7", kā arī  skaitli "200.8." ar skaitli "210.8."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Ronalds Petrovskis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212.</w:t>
            </w:r>
            <w:r w:rsidR="00000000" w:rsidRPr="00000000" w:rsidDel="00000000">
              <w:rPr>
                <w:vertAlign w:val="superscript"/>
                <w:rtl w:val="0"/>
              </w:rPr>
              <w:t xml:space="preserve">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w:t>
            </w:r>
            <w:r w:rsidR="00000000" w:rsidRPr="00000000" w:rsidDel="00000000">
              <w:rPr>
                <w:vertAlign w:val="superscript"/>
                <w:rtl w:val="0"/>
              </w:rPr>
              <w:t xml:space="preserve">6</w:t>
            </w:r>
            <w:r w:rsidR="00000000" w:rsidRPr="00000000" w:rsidDel="00000000">
              <w:rPr>
                <w:rtl w:val="0"/>
              </w:rPr>
              <w:t xml:space="preserve"> Elektroskrejritenim braukšanas laikā priekšpusē deg baltas gaismas lukturis, bet aizmugurē – sarkanas gaismas lukturis. Elektroskrejriteņa vadītājam ir jābūt galvā uzvilktai aizsprādzētai aizsargķiverei. Ieteicams elektroskrejriteņa vadītājam būt tērptam augstas redzamības apģērbā ar gaismu atstarojošiem elementiem.".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279 10. punkts, piemēram, pašlaik noteic, ka diennakts tumšajā laikā, ja ceļš nav pietiekami un vienmērīgi apgaismots, gājējiem, kas atrodas uz brauktuves vai nomales, </w:t>
            </w:r>
            <w:r w:rsidR="00000000" w:rsidRPr="00000000" w:rsidDel="00000000">
              <w:rPr>
                <w:u w:val="single"/>
                <w:rtl w:val="0"/>
              </w:rPr>
              <w:t xml:space="preserve">jābūt tērptiem atstarojošā vestē vai apģērbā ar labi redzamiem gaismu atstarojoša materiāla elementiem.  </w:t>
            </w:r>
            <w:r w:rsidR="00000000" w:rsidRPr="00000000" w:rsidDel="00000000">
              <w:rPr>
                <w:rtl w:val="0"/>
              </w:rPr>
              <w:t xml:space="preserve">Arī projekta 4. punktā ietvertajā noteikumu Nr. 279. 11. punktā paredzēts, ka  personām uz ceļa jāatrodas "atstarojošā vestē vai apģērbā ar labi redzamiem gaismu atstarojoša materiāla elementiem".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analoģiski precizēt projekta 19. punktā ietverto noteikumu Nr. 279 212.</w:t>
            </w:r>
            <w:r w:rsidR="00000000" w:rsidRPr="00000000" w:rsidDel="00000000">
              <w:rPr>
                <w:vertAlign w:val="superscript"/>
                <w:rtl w:val="0"/>
              </w:rPr>
              <w:t xml:space="preserve">6 </w:t>
            </w:r>
            <w:r w:rsidR="00000000" w:rsidRPr="00000000" w:rsidDel="00000000">
              <w:rPr>
                <w:rtl w:val="0"/>
              </w:rPr>
              <w:t xml:space="preserve">punktu un izteikt to,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w:t>
            </w:r>
            <w:r w:rsidR="00000000" w:rsidRPr="00000000" w:rsidDel="00000000">
              <w:rPr>
                <w:vertAlign w:val="superscript"/>
                <w:rtl w:val="0"/>
              </w:rPr>
              <w:t xml:space="preserve">6</w:t>
            </w:r>
            <w:r w:rsidR="00000000" w:rsidRPr="00000000" w:rsidDel="00000000">
              <w:rPr>
                <w:rtl w:val="0"/>
              </w:rPr>
              <w:t xml:space="preserve">  Elektroskrejritenim braukšanas laikā priekšpusē deg baltas gaismas lukturis, bet aizmugurē – sarkanas gaismas lukturis. Elektroskrejriteņa vadītājam ir jābūt galvā uzvilktai aizsprādzētai aizsargķiverei. Ieteicams elektroskrejriteņa vadītājam atstarojošā vestē vai apģērbā ar labi redzamiem gaismu atstarojoša materiāla elementiem.".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22-TA-2915</w:t>
    </w:r>
    <w:r>
      <w:br/>
    </w:r>
    <w:r w:rsidR="00000000" w:rsidRPr="00000000" w:rsidDel="00000000">
      <w:rPr>
        <w:rtl w:val="0"/>
      </w:rPr>
      <w:t xml:space="preserve">Izdrukāts 07.07.2023.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22-TA-2915</w:t>
    </w:r>
    <w:r>
      <w:br/>
    </w:r>
    <w:r w:rsidR="00000000" w:rsidRPr="00000000" w:rsidDel="00000000">
      <w:rPr>
        <w:rtl w:val="0"/>
      </w:rPr>
      <w:t xml:space="preserve">Izdrukāts 07.07.2023.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Atzinumi_22-TA-2915.docx</dc:title>
</cp:coreProperties>
</file>

<file path=docProps/custom.xml><?xml version="1.0" encoding="utf-8"?>
<Properties xmlns="http://schemas.openxmlformats.org/officeDocument/2006/custom-properties" xmlns:vt="http://schemas.openxmlformats.org/officeDocument/2006/docPropsVTypes"/>
</file>