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izmainīt pasākumu 1.1.12, 1.1.16, 3.2.5 un 4.1.4. īstenošanas prioritāti no "sekundāras" uz "primāru",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1.1.4., 1.1.12 un 1.1.16 ietekmi no "netiešas" uz "tiešu", ņemot vērā informatīvajā ziņojumā minētos kritērijus to noteikšanā. Kā arī lūdzam punktā 1.1.3 mainīt ietekmi no "netiešas" uz "tiešu".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Emīlija Roskoša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"Par demogrāfiskās politikas attīstību" 1.1.15. punktu, aizstājot to ar šādu redakciju: "Sieviešu konsultēšanas pakalpojumu nodrošināšana krīzes centros neplānotas grūtniecības gadījumā, nodrošinot atbalstu un nepieciešamo palīdzību krīzes situācijās." Kā arī pēc šīs redakcijas izrietošā, precizēt, ka par pasākumu atbildīgā tiek noteikta Labklājības ministrija, bet līdzatbildīgā Veselības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Emīlija Roskoša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"Par demogrāfiskās politikas attīstību" 3.2.10. punktu, aizstājot to ar šādu redakciju: "Vecmātes mājas vizīšu nodrošināšana grūtniecības un pēcdzemdību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Emīlija Roskoša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