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deklarētās dzīvesvietas adresi. Direkcija  pārliecinās arī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1.7.apakšpunktā piedāvātajam 21.punkta regulējumam ir paredzēts, ka valsts sabiedrība ar ierobežotu atbildību "Autotransporta direkcija" (turpmāk - Direkcija) no Fizisko personu reģistra iegūs šādu informāciju: transportlīdzekļa vadītāja vārdu, uzvārdu, dzimšanas datumu, deklarētās dzīvesvietas adresi. Savukārt projekta sākotnējās ietekmes novērtējuma ziņojuma (anotācijas) 1.sadaļas 1.3.punktā ietverta šāda informācija: "....šādu no Fizisko personu reģistra iegūstamo informāciju: vārds, uzvārds; dzimšanas datums; deklarētās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kodu no Fizisko personu reģistra nepieciešams iegūt, jo Latvijā tas ir fizisko personu raksturojošais unikālais parametrs, kas to ļauj identificēt, piemēram, vienāda vārda un uzvārda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165/2014 31.panta 1.punktā noteiktās prasības izpildi elektroniskai informācijas apmaiņai par vadītāja kartēm, papildus iepriekš minētajai iegūstamajai informācijai, vēl nepieciešams iegūt datus par attiecīgās personas dzimšanas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atbilstību Regulas Nr. 165/2014 26.panta 1.punktā noteiktajam kritērijam, ka vadītāja karti izsniedz kompetentā iestāde dalībvalstī, kurā ir transportlīdzekļa vadītāja parastā dzīvesvieta, no Fizisko personu reģistra nepieciešams iegūt informāciju par transportlīdzekļa vadītāja valstspiederību." Tādējādi attiecībā uz informācijas apjomu, kādu Direkcijai savu funkciju īstenošanai būtu nepieciešams iegūt no Fizisko personu reģistra, ir konstatējama neatbilstība starp projektā paredzēto regulējumu un projekta sākotnējās ietekmes novērtējuma ziņojumā (anotācijā) ietverto informāciju. Proti, projekta 1.7.apakšpunktā piedāvātais 21.punkta regulējums patlaban neparedz, ka no Fizisko personu reģistra Direkcija varēs iegūt arī informāciju par transportlīdzekļa vadītāja personas kodu, tā dzimšanas vietu un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vai nu attiecīgi precizēt projekta 1.7.apakšpunktā piedāvāto 21.punkta regulējumu vai arī precizēt projekta sākotnējās ietekmes novērtējuma ziņojuma (anotācijas) 1.sadaļas 1.3.punktā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1.sadaļas 1.3.punktā ietverto informāciju, svītrojot tajā vārdus "izmantojot esošās starpsistēmu saskarnes un paplašinot noteikto pakalpojumu sniegšanas apjomu", jo ir atšķirīgs datu ieguves tehniskais risinājums, kāds patlaban tiek izmantots datu saņemšanai no Fizisko personu reģistra un no Darba atļauju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14.05.2024.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14.05.2024.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