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Vienotās digitālās vārtejas vienreizes principa tehniskās platformas un apliecinājumu pārrobežu pieejamības nodrošināšanas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Pārzinis var pārtraukt kompetentām iestādēm apliecinājumu saņemšanu vai apliecinājumu izsniegšanu Platformā, ja tiek konstatēts Platformas darbības apdraudējums vai datu noplūdes risks, un atbilstoši lietošanas rokasgrāmatā noteiktajai kārtībai par to informē kompetento iestādi, kas izsniedz apliecinājumus vai kompetento iestādi, kas pieprasa apliecinājumus, norādot pamatotu pārtraukšanas iemeslu.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16.punktu atbilstoši Ministru kabineta 2009. gada 3. februāra noteikumu Nr. 108 "Normatīvo aktu projektu sagatavošanas noteikumi" (turpmāk - noteikumi Nr.108) 131. punktam, t.i., ievērojot, ka projekta tekstā, ja nepieciešams, raksta atsauces uz citām projekta vienībām (iekšējās atsauces) vai atsauces uz citiem tāda paša vai augstāka juridiska spēka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normatīvajā aktā var ietvert uzdevumu iestādei izstrādāt  iekšēju normatīvo aktu (tai skaitā vadlīnijas, rokasgrāmatas u.tml.), piemēram, lai nodrošinātu normatīvo aktu vienveidīgu piemērošanu, regulētu kādas procedūras u.tml. Vienlaikus jāņem vērā, ka iekšējais normatīvais akts ir saistošs tikai tam publisko tiesību subjektam, kas šo aktu izdevis, kā arī šim publisko tiesību subjektam padotajām institūcijām. Privātpersonām iekšējais normatīvais akts nav saistošs (skaidrojumu, sk., piemēram, Normatīvo aktu izstrādes rokasgrāmata, 9.lp., pieejams: https://lvportals.lv/wwwraksti/TEMAS/FAILI/NORMATIVO_AKTU_PROJEKTU_IZSTRADES_ROKASGRAMATA.PDF)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starpā no projekta redakcijas saprotams, ka Valsts digitālās attīstības aģentūras ziņošanas kārtība ir tās iekšējā procedūra un to nav nepieciešams noteikt projektā. Attiecīgi lūdzam izvērtēt un precizēt projektu, piemēram, svītrojot regulējumu par ziņošanu atbilstoši lietošanas rokasgrāmatā noteiktajai kārtībai.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Vienotās digitālās vārtejas vienreizes principa tehniskās platformas (turpmāk – Platforma) darbības kārtību, Platformas pārzini, tā pienākumus, kompetento iestāžu pienākumus un apliecinājumu pārrobežu pieejamības nodrošināšanas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Nr.108 100. punktam, kas noteic, ka projekta pirmajā punktā raksta (pārraksta) likumā noteikto pilnvarojumu Ministru kabinetam (</w:t>
            </w:r>
            <w:r w:rsidR="00000000" w:rsidRPr="00000000" w:rsidDel="00000000">
              <w:rPr>
                <w:i w:val="1"/>
                <w:rtl w:val="0"/>
              </w:rPr>
              <w:t xml:space="preserve">Ministru kabinets nosaka valsts platformas pārzini, tā pienākumus un atbildību, kā arī funkcijas un uzdevumus, kuru izpildei nepieciešama valsts platformas izmantošana, valsts platformas darbības, finansēšanas un izmantošanas kārtību [..]</w:t>
            </w:r>
            <w:r w:rsidR="00000000" w:rsidRPr="00000000" w:rsidDel="00000000">
              <w:rPr>
                <w:rtl w:val="0"/>
              </w:rPr>
              <w:t xml:space="preserve">), lūdzam precizēt projekta 1.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Platforma ir valsts platforma, kas nodrošina iespēju Latvijas kompetentām iestādēm pieprasīt datus no citām ES valstu iestādēm un izsniegt datus citām ES valstu iestādēm Vienotās digitālās vārtejas regulas tvēruma pakalpojumu sniegšanas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Piemēram, saīsinājums "ES" vai "pārzinis", kas tiek lietots jau projekta 5.3. apakšpunktā, bet to skaidro tikai 19. punktā, cita starpā, vienlaicīgi lietojot arī terminu "platformas pārzinis".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izmantot vienotu formātu saīsinājumu pieteikšanai un vienai lietai konsekventi pieteikt un lietot vienu saīsinājumu, piemēram, pastāv "Vienotās digitālās vārtejas regula", "Regula 2022/1463/EK", "Regula 2022/1463") vai "citas ES valstu kompetentās iestādes" un "citas ES valstu iestādes"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Platformas izmantošanas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projekta satura atbilstību projekta 1. punktam un Ministru kabineta pilnvarojumā noteiktajam. Piemēram, atbilstoši projekta 1. punktam, tas nosaka platformas </w:t>
            </w:r>
            <w:r w:rsidR="00000000" w:rsidRPr="00000000" w:rsidDel="00000000">
              <w:rPr>
                <w:u w:val="single"/>
                <w:rtl w:val="0"/>
              </w:rPr>
              <w:t xml:space="preserve">darbības kārtību</w:t>
            </w:r>
            <w:r w:rsidR="00000000" w:rsidRPr="00000000" w:rsidDel="00000000">
              <w:rPr>
                <w:rtl w:val="0"/>
              </w:rPr>
              <w:t xml:space="preserve">, nevis</w:t>
            </w:r>
            <w:r w:rsidR="00000000" w:rsidRPr="00000000" w:rsidDel="00000000">
              <w:rPr>
                <w:u w:val="single"/>
                <w:rtl w:val="0"/>
              </w:rPr>
              <w:t xml:space="preserve"> izmantošanas kārtību</w:t>
            </w:r>
            <w:r w:rsidR="00000000" w:rsidRPr="00000000" w:rsidDel="00000000">
              <w:rPr>
                <w:rtl w:val="0"/>
              </w:rPr>
              <w:t xml:space="preserve">, kas nav viens un tas pats, jo "izmantošana" uzsver subjekta rīcību ar objektu, bet "darbība" – paša procesa norisi.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projektu vai sniegt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savienojumu ar citu valstu e-piegādes piekļuves 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8.1. apakšpunkta daļu "citu valstu", jo atbilstoši citām projekta vienībām izriet attiecināmība tikai uz "citām </w:t>
            </w:r>
            <w:r w:rsidR="00000000" w:rsidRPr="00000000" w:rsidDel="00000000">
              <w:rPr>
                <w:u w:val="single"/>
                <w:rtl w:val="0"/>
              </w:rPr>
              <w:t xml:space="preserve">ES</w:t>
            </w:r>
            <w:r w:rsidR="00000000" w:rsidRPr="00000000" w:rsidDel="00000000">
              <w:rPr>
                <w:rtl w:val="0"/>
              </w:rPr>
              <w:t xml:space="preserve"> valstīm".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Procedūru portālam ir jānodrošina: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11. punktu analoģiski, piemēram, 9. punkta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Procedūru portāls 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Pārzinis izstrādā un aktualizē platformas lietošanas rokasgrāmatu, kurā sniedz platformas lietotājam informāciju kā veikt platformā paredzētās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projekta struktūru, piemēram, vai tā 15. punkts ietverts atbilstošā projekta sadaļā. Vēršam uzmanību, ka no 15. punkta būtības izriet pienākums Valsts digitālās attīstības aģentūrai, kas atbilst projekta V. nodaļai un tā 20. punktam. Attiecīgi, lūdzam izvērtēt iespēju minēto vienību ietvert 20. punkta apakšvienībās.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vēršam uzmanību arī uz projekta 17. punktu vai 6.3. apakšpunktu kontekstā ar VI. nodaļu un tā 22.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aicinām izvērtēt, vai papildus rokasgrāmatas izstrādei un aktualizēšanai nav nepieciešams noteikt tās publiskas pieejamības nodrošināšanu, līdzīgi projekta 20.12. apakšpunktā noteiktajam pienākumam publicēt saiti uz Komisijas 2022. gada 5. augusta Īstenošanas regulas (ES) 2022/1463, ar ko nosaka tehniskās un darbības specifikācijas tehniskajai sistēmai apliecinājumu automatizētai pārrobežu apmaiņai un vienreizējas iesniegšanas principa piemērošanai saskaņā ar Eiropas Parlamenta un Padomes Regulu (ES) 2018/1724 (turpmāk - regula 2022/1463) 4. pantā aprakstīto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Platformas darbības daļēju pārtraukšanu vai ierobežošanu, ja tiek konstatēts Platformas darbības apdraudējums vai apliecinājumu kvalitātes riski, par to informējot kompetento iestādi, kas izsniedz apliecinājumu vai kompetento iestādi, kas pieprasa apliecinājumu, norādot Platformas darbības pārtraukšanas iemeslu;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20.10. apakšpunktu kontekstā ar tā 16. punktu un to, vai tie savstarpēji nepārklājas, nedublē viens otru. Vienlaikus lūdzam izvērtēt, vai abi punkti ir savstarpēji atbilstīgi, ņemot vērā, ka 16. punktā noteikts, ka "</w:t>
            </w:r>
            <w:r w:rsidR="00000000" w:rsidRPr="00000000" w:rsidDel="00000000">
              <w:rPr>
                <w:i w:val="1"/>
                <w:rtl w:val="0"/>
              </w:rPr>
              <w:t xml:space="preserve">Pārzinis </w:t>
            </w:r>
            <w:r w:rsidR="00000000" w:rsidRPr="00000000" w:rsidDel="00000000">
              <w:rPr>
                <w:i w:val="1"/>
                <w:u w:val="single"/>
                <w:rtl w:val="0"/>
              </w:rPr>
              <w:t xml:space="preserve">var pārtraukt </w:t>
            </w:r>
            <w:r w:rsidR="00000000" w:rsidRPr="00000000" w:rsidDel="00000000">
              <w:rPr>
                <w:i w:val="1"/>
                <w:rtl w:val="0"/>
              </w:rPr>
              <w:t xml:space="preserve">kompetentām iestādēm apliecinājumu saņemšanu vai apliecinājumu izsniegšanu </w:t>
            </w:r>
            <w:r w:rsidR="00000000" w:rsidRPr="00000000" w:rsidDel="00000000">
              <w:rPr>
                <w:rtl w:val="0"/>
              </w:rPr>
              <w:t xml:space="preserve">[</w:t>
            </w:r>
            <w:r w:rsidR="00000000" w:rsidRPr="00000000" w:rsidDel="00000000">
              <w:rPr>
                <w:i w:val="1"/>
                <w:rtl w:val="0"/>
              </w:rPr>
              <w:t xml:space="preserve">..</w:t>
            </w:r>
            <w:r w:rsidR="00000000" w:rsidRPr="00000000" w:rsidDel="00000000">
              <w:rPr>
                <w:rtl w:val="0"/>
              </w:rPr>
              <w:t xml:space="preserve">]", bet 20.10. apakšpunkts noteic to, ka Valsts digitālās attīstības </w:t>
            </w:r>
            <w:r w:rsidR="00000000" w:rsidRPr="00000000" w:rsidDel="00000000">
              <w:rPr>
                <w:u w:val="single"/>
                <w:rtl w:val="0"/>
              </w:rPr>
              <w:t xml:space="preserve">aģentūra nodrošina platformas daļēju pārtraukšanu vai ierobežošanu</w:t>
            </w:r>
            <w:r w:rsidR="00000000" w:rsidRPr="00000000" w:rsidDel="00000000">
              <w:rPr>
                <w:rtl w:val="0"/>
              </w:rPr>
              <w:t xml:space="preserve">, kas saprotams, kā obligāts pienākums. Nepieciešamības gadījumā lūdzam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OOTS administrēšanas portālā nodrošināt tās pārziņā esošu apliecinājumu satura pareizību, aktualitāti un atbilstību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ka atbilstoši juridiskās tehnikas prasībām tiesību normai ir jābūt skaidrai un nepārprotamai, lai tās lietotājs un piemērotājs precīzi izprastu savus pienākumus un tiesības. Projekta 21.1. apakšpunkta redakcijā ietvertā vispārīga atsauce uz “normatīvajiem aktiem” neatbilst precizitātes prasībām, jo nav norādīts ne konkrētais normatīvais akts, ne tiesību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minētajā vienībā nepieciešams norādīt konkrētu normatīvo aktu vai vismaz attiecīgo normatīvo aktu jomu atbilstoši noteikumu Nr. 108 3.7. apakšnodaļai.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apliecinājumu veidu izsniegšanai nepieciešamās informācijas reģistrēšanu 20.12. punktā norādītajā saitē;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21.2. apakšpunktā un projektā kopumā precizēt atsauces uz tā vienībām ietverot "šo noteikumu" pirms vienības numura.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apliecinājumu veidu izsniegšanai nepieciešamās informācijas reģistrēšanu </w:t>
            </w:r>
            <w:r w:rsidR="00000000" w:rsidRPr="00000000" w:rsidDel="00000000">
              <w:rPr>
                <w:u w:val="single"/>
                <w:rtl w:val="0"/>
              </w:rPr>
              <w:t xml:space="preserve">šo noteikumu </w:t>
            </w:r>
            <w:r w:rsidR="00000000" w:rsidRPr="00000000" w:rsidDel="00000000">
              <w:rPr>
                <w:rtl w:val="0"/>
              </w:rPr>
              <w:t xml:space="preserve">20.12. punktā norādītajā saitē;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Noteikumos iekļautas tiesību normas, kas izriet no: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2018. gada 2. oktobra regulas (ES) 2018/1724, ar ko izveido vienotu digitālo vārteju, lai sniegtu piekļuvi informācijai, procedūrām un palīdzības un problēmu risināšanas pakalpojumiem, un ar ko groza Regulu (ES) Nr. 1024/2012;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Komisijas 2022. gada 5. augusta īstenošanas regulas (ES) 2022/1463, ar ko nosaka tehniskās un darbības specifikācijas tehniskajai platformai apliecinājumu automatizētai pārrobežu apmaiņai un vienreizējas iesniegšanas principa piemērošanai saskaņā ar Eiropas Parlamenta un Padomes Regulu (ES) 2018/1724.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Nr.108 162. punktu lūdzam svītrot projekta "Informatīva atsauce uz Eiropas Savienības normatīvajiem aktiem"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un projektā atsauces uz Eiropas Savienības tiesību aktiem noformēt atbilstoši noteikumu Nr. 108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"Komisijas 2003. gada 6. oktobra Direktīva 2003/90/EK, ar ko nosaka īstenošanas pasākumus Padomes Direktīvas 2002/53/EK 7. pantā attiecībā uz obligāti pārbaudāmajām pazīmēm un obligātajiem konkrētu lauksaimniecības augu sugu pārbaudes nosacījumiem (turpmāk - Direktīva Nr. 2003/90)".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Eiropas Parlamenta un Padomes 2016. gada 27. aprīļa regulas (ES) 2016/679 par fizisku personu aizsardzību attiecībā uz personas datu apstrādi un šādu datu brīvu apriti un ar ko atceļ Direktīvu 95/46/EK (Vispārīgā datu aizsardzības regula) (turpmāk – Datu regula) 35.panta 7.punkta b), c) un d) apakšpunktos norādīto informāciju no NIDA. Anotācijā tiek norādīts, ka platformai tika veikts novērtējums par ietekmi uz datu aizsardzību (NIDA), savukārt Datu regulas 35. panta 7. punkta b), c) un d) apakšpunktos minētās informācijas no NIDA norādīšana anotācijā nodrošinās risku minimizēšanu, ko varētu radīt platformā plānotā personas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pilnveidot anotācijas 1.3. apakšsadaļu precīzi un pilnīgi atspoguļot projekta būtību un ar to saistītos praktiskos aspektus, jo šobrīd risinājuma apraksts projektu skaidro salīdzinoši vispārīgi. Aicinām: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nodrošināt izpratni par no projekta izrietošajiem procesiem, piemēram, kas saprotams ar procedūru portālu pilnveidošanu (projekta 6.3. apakšpunkts), Datu izplatīšanas un pārvaldības platformu vai projekta 5.3. apakšpunktā minēto vienošanās noslēgšanu (forma, termiņš, no tā izrietošās saistības, kādēļ tā slēdzama par katru apliecinājumu un vai tas nerada lieku administratīvo slogu) vai to, kas šī projekta kontekstā saprotams ar ziņojumiem;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salāgot skaidrojumus ar no projekta izrietošo. Piemēram, 20.1. apakšpunkts, nevis "21.1." nosaka "</w:t>
            </w:r>
            <w:r w:rsidR="00000000" w:rsidRPr="00000000" w:rsidDel="00000000">
              <w:rPr>
                <w:i w:val="1"/>
                <w:rtl w:val="0"/>
              </w:rPr>
              <w:t xml:space="preserve">Platformas integrāciju ar ārējām sistēmām un koplietošanas komponentēm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atbildot uz jautājumu "Vai ir izvērtēts prasību un izmaksu samērīgums pret ieguvumiem?", nepietiek ar atsauci uz </w:t>
            </w:r>
            <w:r w:rsidR="00000000" w:rsidRPr="00000000" w:rsidDel="00000000">
              <w:rPr>
                <w:i w:val="1"/>
                <w:rtl w:val="0"/>
              </w:rPr>
              <w:t xml:space="preserve">Eiropas Parlamenta un Padomes 2018. gada 2. oktobra regulu (ES) 2018/1724, ar ko izveido vienotu digitālo vārteju, lai sniegtu piekļuvi informācijai, procedūrām un palīdzības un problēmu risināšanas pakalpojumiem, un ar ko groza Regulu (ES) Nr. 1024/2012</w:t>
            </w:r>
            <w:r w:rsidR="00000000" w:rsidRPr="00000000" w:rsidDel="00000000">
              <w:rPr>
                <w:rtl w:val="0"/>
              </w:rPr>
              <w:t xml:space="preserve">, jo šādā veidā uz minēto jautājumu netiek sniegta atbilde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vispārīgi skaidrot projekta ietekmi uz sabiedrības grupām. Šobrīd anotācijā norādīts, ka tiek ietekmētas gan fiziskas, gan juridiskas personas, nekonkretizējot to, kā šī ietekme izpaužas.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precīzi un pilnīgi izvērtēt un atspoguļot projekta atbilstību Eiropas Savienības tiesību aktiem. 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5.4. apakšsadaļas 1.tabulas "B" kolonnā norāda projekta, ja attiecināms, arī cita tiesību akta vienību, kas ievieš "A" kolonnā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5.4. apakšsadaļas 1. tabulas "C" kolonnā norāda, vai "A" kolonnā minētā tiesību norma ieviesta pilnībā vai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projekta redakcijai tiek ieviesta arī Eiropas Parlamenta un Padomes 2014. gada 23. jūlija regula (ES) Nr. 910/2014 par elektronisko identifikāciju un uzticamības pakalpojumiem elektronisko darījumu veikšanai iekšējā tirgū un ar ko atceļ direktīvu 1999/93/EK (projekta 20.7. apakšpunkts) vai regulas 2022/1463 17. pants (projekta 9.3.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pēc iespējas skaidrāk izprotams projektā ietvertais regulējums un tajā plānotās personas datu apstrādes darbības, kā arī apstākli, ka attiecībā uz platformu ir veikta NIDA, lūdzam papildināt anotācijas 8.1.13. apakšpunktu, sniedzot skaidru un saprotamu informāciju par projektā paredzēto personu datu apstrādi, norādot tiesisko pamatojumu personu datu apstrādei (tostarp arī spēkā esošu ārējo normatīvo aktu (-us) un tā normu (-as), no kā ir izsecināma nepieciešamība apstrādāt personu datus projektā paredzētajā veidā), kā arī sniedzot īsu un kodolīgu skaidrojumu par paredzēto personu datu apstrādi – kādu datu subjektu un kādu kategoriju datus paredz apstrādāt projekts, kādos konkrētos nolūkos, papildus norādot arī – vai personu dati tiks glabāti un kāds būs datu glabāšanas termiņš, kāds ir pamatojums glabāšanas termiņam, kā arī informāciju par to, vai dati tiks nodoti citām institūcijām un kādā nolūkā. Anotācijas papildināšanai aicinām izmantot Valsts kancelejas 2021. gada vadlīnijas sākotnējās ietekmes novērtēšanai un novērtējuma ziņojuma sagatavošanai vienotajā tiesību aktu izstrādes un saskaņošanas portālā attiecībā uz datu aizsardzību (54.-55.lpp.)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11.05.2026.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11.05.2026.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Atzinumi_25-TA-2211.docx</dc:title>
</cp:coreProperties>
</file>

<file path=docProps/custom.xml><?xml version="1.0" encoding="utf-8"?>
<Properties xmlns="http://schemas.openxmlformats.org/officeDocument/2006/custom-properties" xmlns:vt="http://schemas.openxmlformats.org/officeDocument/2006/docPropsVTypes"/>
</file>