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26. jūlija noteikumos Nr. 488 "Kārtība, kādā nepilngadīgam patvēruma meklētājam nodrošina izglītības ieguves iespējas"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29.</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precizēt projekta 2. punktā ietverto 29.</w:t>
            </w:r>
            <w:r w:rsidR="00000000" w:rsidRPr="00000000" w:rsidDel="00000000">
              <w:rPr>
                <w:vertAlign w:val="superscript"/>
                <w:rtl w:val="0"/>
              </w:rPr>
              <w:t xml:space="preserve">1</w:t>
            </w:r>
            <w:r w:rsidR="00000000" w:rsidRPr="00000000" w:rsidDel="00000000">
              <w:rPr>
                <w:rtl w:val="0"/>
              </w:rPr>
              <w:t xml:space="preserve"> punkta otro teikumu, nosakot, ka bāriņtiesa vai pašvaldības sociālais dienests informē pašvaldības, kurā norādīta Ukrainas civiliedzīvotāja uzturēšanās vietas adrese, civilās aizsardzības komisiju arī gadījumā, kad tās rīcībā esošā informācija liecina par Ukrainas civiliedzīvotāju uzturēšanās citas pašvaldības administratīvajā teritorijā.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29.</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aizstāt vārdus "civilās aizsardzības komisiju" ar vārdiem "sadarbības teritorijas civilās aizsardzības komisiju" atbilstoši Ukrainas civiliedzīvotāju atbalsta likuma 2. panta pirmajā daļā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23-TA-467</w:t>
    </w:r>
    <w:r>
      <w:br/>
    </w:r>
    <w:r w:rsidR="00000000" w:rsidRPr="00000000" w:rsidDel="00000000">
      <w:rPr>
        <w:rtl w:val="0"/>
      </w:rPr>
      <w:t xml:space="preserve">Izdrukāts 23.03.2023. 09.55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23-TA-467</w:t>
    </w:r>
    <w:r>
      <w:br/>
    </w:r>
    <w:r w:rsidR="00000000" w:rsidRPr="00000000" w:rsidDel="00000000">
      <w:rPr>
        <w:rtl w:val="0"/>
      </w:rPr>
      <w:t xml:space="preserve">Izdrukāts 23.03.2023. 09.55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Atzinumi_23-TA-467.docx</dc:title>
</cp:coreProperties>
</file>

<file path=docProps/custom.xml><?xml version="1.0" encoding="utf-8"?>
<Properties xmlns="http://schemas.openxmlformats.org/officeDocument/2006/custom-properties" xmlns:vt="http://schemas.openxmlformats.org/officeDocument/2006/docPropsVTypes"/>
</file>