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2.2.2. specifiskā atbalsta mērķa "Pārejas uz aprites ekonomiku veicināšana" 2.2.2.1. pasākuma "Atkritumu šķirošana, pārstrāde un reģenerācija" projektu iesniegumu atlases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kārtā sasniedzamie projektu uzraudzības rādītāji un to vērtības, kas sasniedzamas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punktā un tā apakšpunktos norādītās sasniedzamās rādītāju vērtības atbilstoši Vides aizsardzības un reģionālās attīstības ministrijas iepriekš sniegtajai informācijai par Eiropas Savienības kohēzijas politikas programmas 2021.–2027.gadam rādītāju dalījumu pasākumu līmenī, vai attiecīgi iesūtīt Finanšu ministrijai precizētu minēto informāciju (Excel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Kohēzijas fonda finansējums ir līdz 40 procentiem no projekta kopējā attiecināmā finansējuma, un privātā līdzfinansējuma apmērs ir vismaz 60 procenti no projekta kopējā attiecināmā finansējuma, vienlaikus ievērojot šo noteikumu </w:t>
            </w:r>
            <w:r w:rsidR="00000000" w:rsidRPr="00000000" w:rsidDel="00000000">
              <w:rPr>
                <w:rtl w:val="0"/>
              </w:rPr>
              <w:t xml:space="preserve">46.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nav iespējama finansējuma apmēra procentuālā atbilstība, vienlaikus ievērojot 46. punkta nosacījumus, tas ir, KF finansējums </w:t>
            </w:r>
            <w:r w:rsidR="00000000" w:rsidRPr="00000000" w:rsidDel="00000000">
              <w:rPr>
                <w:b w:val="1"/>
                <w:rtl w:val="0"/>
              </w:rPr>
              <w:t xml:space="preserve">līdz </w:t>
            </w:r>
            <w:r w:rsidR="00000000" w:rsidRPr="00000000" w:rsidDel="00000000">
              <w:rPr>
                <w:rtl w:val="0"/>
              </w:rPr>
              <w:t xml:space="preserve">40 % un privātā līdzfinansējuma apmērs </w:t>
            </w:r>
            <w:r w:rsidR="00000000" w:rsidRPr="00000000" w:rsidDel="00000000">
              <w:rPr>
                <w:b w:val="1"/>
                <w:rtl w:val="0"/>
              </w:rPr>
              <w:t xml:space="preserve">vismaz </w:t>
            </w:r>
            <w:r w:rsidR="00000000" w:rsidRPr="00000000" w:rsidDel="00000000">
              <w:rPr>
                <w:rtl w:val="0"/>
              </w:rPr>
              <w:t xml:space="preserve">60 % apmērā ir pretrunā ar 46. punktā noteiktajiem atbalsta intensitātes apmēriem (piemēram, maza uzņēmuma KF finansējuma intensitāte ir 75 % , kas nozīmētu 25 % lielu privāto līdzfinansējumu, tādējādi neatbilstot 10. punktā noteiktajam finansējuma procentuālajam sadalījumam).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līdz pirmā maksājuma pieprasījuma iesniegšanas dienai sadarbības iestādē nodrošina, ka tam ir zemesgrāmatās nostiprinātas tiesības veikt būvdarbus zemesgabalos, kur paredzēts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14.punktā, vai ar pirmo maksājuma pieprasījumu ir domāts avansa vai pirmais starpposma maksājuma pieprasījums, un izteikt punktu atbilstošā no piedāvātajām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līdz avansa maksājuma pieprasījuma iesniegšanas dienai sadarbības iestādē nodrošina, ka tam ir zemesgrāmatās nostiprinātas tiesības veikt būvdarbus zemesgabalos, kur paredzēts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līdz pirmā starpposma maksājuma pieprasījuma iesniegšanas dienai sadarbības iestādē nodrošina, ka tam ir zemesgrāmatās nostiprinātas tiesības veikt būvdarbus zemesgabalos, kur paredzēts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iesniegumam pievieno pārstrādājamo atkritumu pieejamības un pastāvīgas plūsmas nodrošinājuma aprakstu, ievērojot regulas Nr. 651/2014 47. panta 5. punkta nosacījumu, ka atbalsts nedrīkst stimulēt atkritumu rašanos. Aprakstā norādīta atkritumu izcelsme un izvērtētas iekārtu ekspluatācijai nepieciešamo atkritumu ieguves avotu alternatīvas, kā arī sniegts vērtējums par attiecīgā atkritumu veida pieejamību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17.punktu ar nosacījumu, kas izriet no Komisijas regulas Nr. 651/2014 47.panta 5.punkta, ka atbalsts nedrīkst stimulēt resursu lielāku izmantošanu un attiecīgi precizēt noteikumu projekta anotāciju. Vēršam uzmanību, ka no Komisijas regulas Nr. 651/2014 47.panta 5.punkta izriet, ka atbalsts kopumā nedrīkst stimulēt atkritumu rašanos vai resursu lielāku izmantošanu, tāpēc pat, ja ieguldījumi tiek veikti jaunās iekārtās, ir jāpārliecinās, ka atbalsta saņēmējs, saņemot šādu atbalstu, neīstenos resursu lielāku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iegādātie aktīvi ir jauni;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V sadaļas 1. tabulā attiecībā uz noteikumu projekta 21.1.apakšpunktā noteiktā nosacījuma atbilstību Komisijas regulas Nr.651/2014 47.panta 7.punktam, norādīt, ka ar šo normu tiek paredzētas stingrākas prasības nekā Komisijas regulas Nr.651/2014 47.panta 7.punkta prasībās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Atlases kārtas ietvaros plāno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nav iespējams, lūdzam papildināt anotāciju ar argumentāciju (iekļaujot aspektus, kas apgrūtina piemērot vienkāršotās izmaksas kā piemēram, izmaksu dažādība, datu pieejamība utt.) attiecībā uz vienkāršoto izmaksu nepiemērošanu. Vēršam uzmanību, ka 200 000 euro slieksnis attiecas uz obligāto vienkāršoto izmaksu piemērošanu, taču vienkāršotās izmaksas var piemērot jebkādām projektu darbībām neatkarīgi no projekta lieluma.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mērķu sasniegšanai paredzēto tehnoloģisko iekārtu iegādes, uzstādīšanas un ieregulēšanas izmaksas, ja uzstādīšanas un ieregulēšanas izmaksas veido tehnoloģisko iekārtu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kas izriet no Komisijas regulas Nr.651/2014 47.panta 6. punkta, ka noteiktos ieguldījumus, kas saistīti ar tehnoloģijām, kuras veido jau rentablu iedibinātu komercpraksi Savienības līmenī, saskaņā ar šo pantu nav atbrīvoti no Līguma 108. panta 3. punktā noteiktās paziņošanas prasības. Skaidrojam, ka, piešķirot atbalstu, saskaņā ar Komisijas regulas Nr.651/2014 47.pantu, ir jāpārliecinās par atbilstību arī Komisijas regulas Nr.651/2014 47.panta 6.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Projektā var paredzēt līdzekļus neparedzētiem izdevumiem, kas nepārsniedz piecus procentus no projekta kopējām attiecināmajām izmaksām. Neparedzētie izdevumi ir izdevumi tādu papildu darbu vai pakalpojumu veikšanai, kas neparedzamu apstākļu dēļ ir kļuvuši nepieciešami, lai varētu izpildīt civiltiesiskā līguma par projekta īstenošanu nosacījumus un izmantotu ar projekta īstenošanu saistīto attiecināmo izmaksu segšanai. Neparedzēto izmaksu izmantošanu pirms izmaksu veikšanas finansējuma saņēmējs saskaņo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pēc kura tika noteikts noteikumu projekta 30.punktā minētais procentuālais neparedzēto izdevumu apmērs šim pasākumam. Vēršam uzmanību, ka saskaņā ar Finanšu ministrijas izstrādātajām vadlīnijām attiecināmo izmaksu noteikšanai Eiropas Savienības kohēzijas politikas programmas 2021.–2027.gada plānošanas periodā katram pasākumam neparedzēto izdevumu procentuālais apmērs ir izvērtējams individuāli, atkarībā no tā, cik apjomīgus un sarežģītus projektus paredzēts īstenot attiecīgajā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37.punktu, ka finansējuma saņēmējs nodrošina nepārklāšanās principu ar citiem valsts un ārvalstu finanšu atbalsta instrumentiem un dubultā finansējuma neiestāšanos, kā arī atbalsta summēšanas (kumulācijas) nosacījumu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37.10. novērš interešu konflikta risku saskaņā ar Eiropas Parlamenta un Padomes 2018. gada 18. jūlija Regulas (ES, Euratom) Nr. 2018/1046</w:t>
            </w:r>
            <w:r w:rsidR="00000000" w:rsidRPr="00000000" w:rsidDel="00000000">
              <w:rPr>
                <w:i w:val="1"/>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37.10. apakšpunktu jaunā redakcijā. Ņemot vērā Eiropas Komisijas sniegto skaidrojumu, noteikumu projekta 37.10. apakšpunktā minētās regulas 61. panta prasības nav tiešā veidā attiecināmas uz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37.10. finansējuma saņēmējs projekta īstenošanas laikā nodrošina interešu konflikta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nosacījumu, ka de minimis atbalsta gadījumā pirms atbalsta piešķiršanas atbalsta sniedzējs lūdz atbalsta pretendentam iesniegt de minimis atbalsta uzskaites sistēmā sagatavotas veidlapas izdruku vai norādīt sistēmā izveidotās un apstiprinātās pretendenta veidlapas identifikācijas numuru, ievērojot normatīvos aktus par de minimis atbalsta uzskaites un piešķiršanas kārtību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 sadaļu ar nosacījumiem, kas izriet no Komisijas regulas Nr.651/2014 47.panta 4. un 10.punkta.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prognozēto KF finansējuma apmēru sadalījumā pa gadiem visam pasākuma īstenošanas periodam, līdz 2029.gadam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atbilstības izvērtējumu pret Komisijas regulas Nr.651/2014 attiecīgajām normām. Vēršam uzmanību, ka šobrīd, piemēram, ir nekorekti norādīts atbilstības izvērtējums 4.punktam, kuram jābūt nevis pret Komisijas regulas Nr.651/2014 2.panta 2.punktu, bet gan Komisijas regulas Nr.651/2014 2.panta 24.punktu (attiecībā uz lielo uzņēmumu definīciju) un Komisijas regulas Nr.651/2014 I pielikumam (attiecībā uz MVU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 kā arī nosacījumus, kas jāievēro, lai saņemtu valsts atbalstu komercdarbībai (turpmāk –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1.5. apakšpunktā vārdus "valsts atbalstu komercdarbībai (turpmāk – komercdarbības atbalsts)" ar vārdiem "komercdarbības atbalstu", ņemot vērā Eiropas Savienības fondu 2021.–2027. gada plānošanas perioda vadības likuma 19. panta 13. punktā ietverto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Atlases kārtas mērķis ir atbalstīt atkritumu pārstrādes iekārtu izveidi.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rezultāta rādītājs – pārstrādāto atkritumu apjoms. Rezultāta rādītāja vērtība tiek sasniegta, ja atlases kārtas projektu ietvaros veikti ieguldījumi atkritumu pārstrādes iekārtu izveidē atbilstoši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noteiktajā apjomā, sasniedzot pārstrādāto atkritumu apjomu 223 000 tonnas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rādītājs būs sasniegts norādītajā termiņā, ņemot vērā 35.punkta nosacījumu, ka uzskaiti veic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saskaņā ar projektu iesniegumu atlases nolikuma prasībām elektroniski sagatavo projekta iesniegumu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punktā vārdu "elektroniski", lai nerastos interpretācijas iespējas. Vēršam uzmanību, ka atbilstoši Kohēzijas politikas fondu vadības informācijas sistēmas funkcionalitātei, sistēmā ir iestrādāti projekta iesnieguma datu lauku, kuros tiek norādīta atbilstoša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atbilstoši sadarbības iestādes izstrādātajiem metodiskajiem norādījumiem veic projekta izmaksu un ieguvumu analīzi (finanšu analīzi un ekonomisko analīzi), ievērojot, ka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ka noteikumu projekta 18. punktā minētā projekta izmaksu un ieguvumu analīze tiks pievienota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Valsts vides dienestā vismaz 45 darbdienas pirms projekta iesnieguma iesniegšanas termiņa iesniedz plānotās pārstrādes iekārtas dokumentāciju latviešu valodā (tehnisko specifikāciju un citu papildinošu dokumentāciju par iekārtas plānoto darbību, ja tāda pieejama). Valsts vides dienests 15 darbdienu laikā no šajā punktā minētās informācijas saņemšanas dienas sagatavo un izsniedz projekta iesniedzējam atzinumu par projektā plānotās iekārtas pārstrādes darbības rezultātā radušos produktu vai otrreizējo izejvielu. Projekta iesniedzējs atzinumu pievieno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ietekmē projektu iesniegšanas termiņu un atlases procesu kopumā, lūdzam anotācijā skaidrot 19. punktā noteiktos termiņus, proti, kādēļ dokumentācija VVD atzinuma saņemšanai jāiesniedz vismaz 45 darba dienas pirms projekta iesnieguma iesniegšanas, ja VVD atzinums tiek sniegts 15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Atlases kārtas ietvaros ieguldījumus veic tādos materiālajos aktīvos kā ražošanas telpas jeb ēkas, tehnika, tai skaitā transportlīdzekļi, iekārtas un aprīkojums, kas ir ieguldījumi pamatlīdzekļos ar nosacījumu,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Finanšu ministrijas izstrādāto vadlīniju attiecināmo izmaksu noteikšanai Eiropas Savienības kohēzijas politikas programmas 2021.–2027.gada plānošanas periodā 16.apakšpunktā norādīto 44.atsauci, proti, ka saskaņā ar Eiropas Parlamenta un Padomes 2021. gada 24. jūnija regulas (ES) 2021/1057, ar ko izveido Eiropas Sociālo fondu Plus (ESF+) un atceļ Regulu (ES) Nr. 1296/2013 7.panta 1.punkta h) punkta  iii)apakšpunktu iespējams iegādāties tikai tādus transportlīdzekļus, kas atbilst direktīvas Nr.2009/33/EC nosacījumiem un to atbildīgā iestāde, izstrādājot MK noteikumus par investīciju īstenošanu, norāda sākotnējās ietekmes izvērtējumā (anotācijā). Līdz ar to aicinām izvērtēt iespēju papildināt anotāciju, vienlaikus precizējot noteikumu projekta 21.punktu un 24.4. apakšpunktu, norādot paredzēto transportlīdzekļu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nekustamā īpašuma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ar 21.punktu, kas paredz, ka var ieguldīt finansējumu jaunos aktīvos, t.sk. ēkās.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būvprojekta izstrādes, autoruzraudzības un būvdarbu būvuzraudzības izmaksas, ja to veikšanu nosaka būvniecības jomu regulējošie normatīvie akti, nepārsniedzot 10 procentus no projekta kopējām attiecināmajām izmaksām, ja šīs izmaksas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pēdējā palīgteikuma "ja šīs izmaksas veido projekta ietvaros radīto pamatlīdzekļu vērtību" nepieciešamību, jo pamatlīdzekļu vērtību nosaka pēc grāmatvedības normatīviem un konkrēta uzņēmuma grāmatvedības politikas.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mērķu sasniegšanai paredzēto tehnoloģisko iekārtu iegādes, uzstādīšanas un ieregulēšanas izmaksas, ja uzstādīšanas un ieregulēšanas izmaksas veido tehnoloģisko iekārtu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pēdējā palīgteikuma "ja uzstādīšanas un ieregulēšanas izmaksas veido tehnoloģisko iekārtu vērtību" nepieciešamību, jo parasti šie pakalpojumi ietilpst piegādes līgumos un nav iespējams pieņemt iekārtu ekspluatācijā bez uzstādīšanas un ieregulēšanas.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24.5.1. ar projekta darbībām tieši saistīto publicitātes pasākumu izmaksas, kas veiktas saskaņā ar normatīvajiem aktiem par kārtību, kādā 2021.–2027. gada plānošanas periodā publisko informāciju par projektiem un nodrošina Eiropas Savienības fondu publicitātes, saziņas un vizuālās identitātes prasību ieviešanu, bet nepārsniedzot vienu procentus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24.5.1. apakšpunktā vārdus un skaitļus "kas veiktas saskaņā ar normatīvajiem aktiem par kārtību, kādā 2021.–2027. gada plānošanas periodā publisko informāciju par projektiem un nodrošina Eiropas Savienības fondu publicitātes, saziņas un vizuālās identitātes prasību ieviešanu", kā arī atbilstoši precizēt anotāciju, ņemot vērā, ka attiecīgā normatīvā akta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Eiropas Savienības fondu 2021. - 2027.gada plānošanas periodā izveidojošos praksi un horizontālajos normatīvajos aktos lietoto jēdzienu "komunikācijas un vizuālās identitātes prasību nodrošināšanas nosacījumi", aicinām izvērtēt un pēc nepieciešamības precizēt noteikumu projekta 24.5. un 37.1. apakšpunktu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24.5.1. </w:t>
            </w:r>
            <w:r w:rsidR="00000000" w:rsidRPr="00000000" w:rsidDel="00000000">
              <w:rPr>
                <w:rtl w:val="0"/>
              </w:rPr>
              <w:t xml:space="preserve">apakšpunktā</w:t>
            </w:r>
            <w:r w:rsidR="00000000" w:rsidRPr="00000000" w:rsidDel="00000000">
              <w:rPr>
                <w:rtl w:val="0"/>
              </w:rPr>
              <w:t xml:space="preserve"> noteiktās izmaksas pilnā apmērā finansē no Kohēzijas fonda finansējuma un tas nekvalificējas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26.punkta redakciju, lai nerastos pārpratumi, ka noteikumu projekta 24.5.1.apakšpunktā minētās izmaksas pilnā apmērā (jeb 100% apmērā) tiek finansētas no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Izmaksas, kas saskaņā ar šiem noteikumiem nav iekļaujamas projektā kā attiecināmās izmaksas, ir finansējamas ārpus projekta par finansējuma saņēmēja līdzekļiem, par kuriem nav saņemts nekāds komercdarbības atbalsts. Ārpus projekta nedrīkst paredzēt izmaksas par darbībām, kas tiešā veidā nodrošina projekta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29.punkta otro teikumu, precizējot ierobežojumu, vai izmaksas, kas būs attiecināmas uz projektu, bet neiekļausies projekta budžetā (pēc iepirkuma veikšanas būs lielāka summa, nekā plānots), finansējuma saņēmējs nevarēs segt no saviem līdzekļiem ārpus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Projektā var paredzēt līdzekļus neparedzētiem izdevumiem, kas nepārsniedz piecus procentus no projekta kopējām attiecināmajām izmaksām. Neparedzētie izdevumi ir izdevumi tādu papildu darbu vai pakalpojumu veikšanai, kas neparedzamu apstākļu dēļ ir kļuvuši nepieciešami, lai varētu izpildīt civiltiesiskā līguma par projekta īstenošanu nosacījumus un izmantotu ar projekta īstenošanu saistīto attiecināmo izmaksu segšanai. Neparedzēto izmaksu izmantošanu pirms izmaksu veikšanas finansējuma saņēmējs saskaņo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punktu, svītrojot tajā "neparedzamu apstākļu dēļ", jo projektā var rasties arī cita veida neplānoti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nodrošina regulas Nr. 2021/1060 47. un 50. pantā noteiktos informācijas un publicitātes pasākumus saskaņā ar kārtību, kādā Eiropas Savienības fondu vadībā iesaistītās institūcijas nodrošina šo fondu ieviešanu 2021.–2027. gada plānošanas periodā, un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37.1.apakšpunktu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nodrošina komunikācijas un vizuālās identitātes prasību nodrošināšanas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uzkrāj datus par projekta ietekmi uz horizontālo principu īstenošanu projekta īstenošanas un pēcuzraudzības laikā un ievēro šādus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paredzēta prasība uzkrāt datus par projekta ietekmi uz horizontālo principu īstenošanu pēcuzraudzības laikā, kā arī pasākumam nav noteikta ietekme uz horizontālo principu "Vienlīdzība, iekļaušana, nediskriminācija un pamattiesību ievērošana", lūdzam precizēt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projekta īstenošanas laikā uzkrāj datus par projekta ietekmi uz horizontālo principu īstenošanu un projekta īstenošanas laikā un pēcuzraudzības periodā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37.8.2.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37.8.3.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sadarbības iestādei ir pieejami valsts budžeta līdzekļi, tā, izvērtējot plānotā avansa apmēru un tā pamatojumu un pamatojoties uz finansējuma saņēmēja rakstisku avansa pieprasījumu, pēc civiltiesiskā līguma par projekta īstenošanu noslēgšanas var piešķirt finansējuma saņēmējam avansu. Finansējuma saņēmējs avansa pieprasījumu sagatavo un sadarbības iestāde to apstiprina, ņemot vērā, ka plānotā avansa apmērs un tā pamatojums atbilst finansējuma saņēmēja spējai to izlietot sešu mēnešu laikā saimnieciskā gada ietvaros. Finansējuma saņēmējam avansu var piešķirt līdz 30 procentiem no projektam piešķirtā Kohēzijas fonda finansējuma, ievērojot, ka avansu var izmaksāt vairākos maksājumos un avansa un starpposma maksājumu kopsumma nepārsniedz 90 procentus no projektam piešķirtā Kohēzijas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iesniedzēji pirmās atlases kārtas ietvaros ir paredzēti komersanti, ierosinām precizēt punktu, svītrojot tajā nosacījumu avansa apgūšanai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avansa pieprasījumu sagatavo un sadarbības iestāde to apstiprina, ņemot vērā, ka plānotā avansa apmērs un tā pamatojums atbilst finansējuma saņēmēja spējai to izlietot sešu mēnešu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sadarbības iestādē, izņemot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paredzētās būvprojekta izstrādes izmaksas, kas ir attiecināmas no 2023.gada 1. jūlija.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41. punkts būtu pārceļams uz noteikumu projekta III nodaļu.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projekta darbības, izņemot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paredzēto būvprojekta izstrādi, ir uzsāktas un izmaksas radušās pirms projekta iesnieguma iesniegšanas sadarbības iestādē, projekta iesniegums tiek noraidīts.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43. punkta nepieciešamību, ņemot vērā, ka noteikumu projekta 41.punkts jau nosaka attiecināmības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iesniedzējs atbilstoši regulas Nr. 651/2014 47. panta 7. punkta trešajai daļai projekta iesniegumā apraksta un pievieno dokumentārus pierādījumus, ka atbalsta nepiešķiršanas gadījumā ieguldījums netiktu veikts, piemēram, šādu iemeslu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Komisijas regulas Nr.651/2014 47. panta 7. punkta trešās daļas prasības piemērošanu Horvātija ir uzdevusi jautājumu Eiropas Komisijai ar mērķi saprast praktisko šī nosacījuma piemērošanu. Vēršam uzmanību, ka, ja Eiropas Komisijas atbilde uz Horvātijas jautājumu būs pretrunā ar šobrīd paredzēto, lūdzam  virzīt attiecīgus grozījumus noteikumu projektā, precizējot tā 47. punktu, lai nodrošinātu atbilstību Komisijas regulas Nr.651/2014 47. panta 7.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sadaļas apakšsadaļu "Apraksts" ar norādi uz Eiropas Savienības fondu 2021.–2027. gada plānošanas perioda vadības likuma 19. panta 13. punktu kā noteikumu projekta izstrādes pamatojošo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norādīto informāciju par pirmās atlases kārtas tiešo ietekmi uz Eiropas Savienības stratēģiju Baltijas jūras reģionam ar norādi,  ka investīcijām piemērojams Makroreģionālā un jūras baseinu stratēģijas kods 03 - Baltijas jūras reģiona stratēģija, tādējādi nodrošinot skaidru informācijas izsekojamību par pasākuma ietvaros plānotā atbalsta ietekmi uz Eiropas Savienības stratēģiju Baltijas jūras reģionam.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nosacījumu,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norādi uz Vides aizsardzības un reģionālās attīstības ministriju, kura pildīs atbildīgās iestādes funkcijas, un anotācijas 7.1. sadaļu ar norādi uz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sniegto pamatojumu - tā kā pasākums pieļauj jebkura atkritumu veida pārstrādi, secināms, ka tas iekļauj arī bioloģiski noārdāmo atkritumu (BNA) pārstrādi. BNA projektos ES fondu 2014.-2020. gada plānošanas periodā (stadijās pabeigts un līgums) vidējais KF finansējuma apmērs ir 9,7 miljoni euro (vienam no projektiem finansējuma apmērs sasniedz 30 miljonus euro), līdz ar to redzam risku, ka vienam projektam tiek piešķirts viss KF finansējums vai tā lielākā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punktu “Cita informācija” papildināt ar informāciju, ka pasākuma īstenošanai KF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23-TA-2123</w:t>
    </w:r>
    <w:r>
      <w:br/>
    </w:r>
    <w:r w:rsidR="00000000" w:rsidRPr="00000000" w:rsidDel="00000000">
      <w:rPr>
        <w:rtl w:val="0"/>
      </w:rPr>
      <w:t xml:space="preserve">Izdrukāts 24.10.2023. 21.09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23-TA-2123</w:t>
    </w:r>
    <w:r>
      <w:br/>
    </w:r>
    <w:r w:rsidR="00000000" w:rsidRPr="00000000" w:rsidDel="00000000">
      <w:rPr>
        <w:rtl w:val="0"/>
      </w:rPr>
      <w:t xml:space="preserve">Izdrukāts 24.10.2023. 21.09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Atzinumi_23-TA-2123.docx</dc:title>
</cp:coreProperties>
</file>

<file path=docProps/custom.xml><?xml version="1.0" encoding="utf-8"?>
<Properties xmlns="http://schemas.openxmlformats.org/officeDocument/2006/custom-properties" xmlns:vt="http://schemas.openxmlformats.org/officeDocument/2006/docPropsVTypes"/>
</file>