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Izglītības iestādes atbilstību kvantitatīvajiem rādītājiem un pieļaujamai svārstībai nosaka saskaņā ar informācijas sistēmā ievadīto un apstiprināto informāciju par izglītojamo skaitu izglītības iestādē (pa klasēm un izglītības programmām) katrā tās izglītības programmas īstenošanas vietā attiecīgā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datumus ar noteikumiem par sadales kārtību, nosakot, ka izglītības iestādes atbilstību kvantitatīvajiem rādītājiem IZM nosaka uz 30.jūniju, un precizē uz 1.septembri.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Šo noteikumu 3.7. apakšpunktu piemēro ar 2029. gada 1. septembri. Pašvaldība līdz 2029. gada 31. maijam izlemj jautājumu par tās administratīvajā teritorijā atrodošās valsts augstskolas vai privātās izglītības iestādes, kura īsteno vispārējās vidējās izglītības programmas klātienes formā, iekļaušanu pašvaldības izglītības ekosistēmas attīstības stratēģijā.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vienlīdzīgu attieksmi visām izglītības iestādēm un noteikt 3.7.apakšpunkta piemērošanu ar 2026.gada 1.septembri.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Kvantitatīvie rādītāji izglītības iestādes klašu grupām un pieļaujamā izglītojamo skaita svārstība no noteiktā kvantitatīvā rādītāja klašu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3.grupā 10.-12.kl. posmā noteikt izglītojamo skaitu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13.grupai piemērot izglītojamo skaita noteikumus, atbilstoši pašvaldību administratīvi teritoriālo vienību iedalījumam, neatkarīgi no dibinātāja.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14. grupa –  izglītības iestādei, kura dibināta vai kura īsteno svešvalodas, kultūras un vēstures apguvi vispārējās izglītības programmas ietvaros, ievērojot Latvijas Republikas divpusējos un daudzpusējos starptautiskos līgumus izglītības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vai šajā punktā minētie LR divpusējie un daudzpusējie starptautiskie līgumi iekļauj arī Latvijas Republikas un Svētā krēsla līgumu (https://likumi.lv/ta/id/66743-latvijas-republikas-un-sveta-kresla-ligums).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10.02.2026.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