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12</w:t>
            </w:r>
            <w:r w:rsidR="00000000" w:rsidRPr="00000000" w:rsidDel="00000000">
              <w:rPr>
                <w:vertAlign w:val="superscript"/>
                <w:rtl w:val="0"/>
              </w:rPr>
              <w:t xml:space="preserve">1</w:t>
            </w:r>
            <w:r w:rsidR="00000000" w:rsidRPr="00000000" w:rsidDel="00000000">
              <w:rPr>
                <w:rtl w:val="0"/>
              </w:rPr>
              <w:t xml:space="preserve">. pantu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Eiropas Parlamenta un Padomes direktīvas (ES) 2023/1791 VII pielikumā ir skaidra norāde uz to, ka 12</w:t>
            </w:r>
            <w:r w:rsidR="00000000" w:rsidRPr="00000000" w:rsidDel="00000000">
              <w:rPr>
                <w:vertAlign w:val="superscript"/>
                <w:rtl w:val="0"/>
              </w:rPr>
              <w:t xml:space="preserve">1</w:t>
            </w:r>
            <w:r w:rsidR="00000000" w:rsidRPr="00000000" w:rsidDel="00000000">
              <w:rPr>
                <w:rtl w:val="0"/>
              </w:rPr>
              <w:t xml:space="preserve">. panta (1) daļai jāattiecas uz uzņēmuma katru atsevišķo datu centru, jo VII pielikumā nosauktās minimālās prasības attiecībā uz datu centru energoefektivitātes monitoringu un publicēšanu norādāmas par katru datu centru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w:t>
            </w:r>
            <w:r w:rsidR="00000000" w:rsidRPr="00000000" w:rsidDel="00000000">
              <w:rPr>
                <w:vertAlign w:val="superscript"/>
                <w:rtl w:val="0"/>
              </w:rPr>
              <w:t xml:space="preserve">1</w:t>
            </w:r>
            <w:r w:rsidR="00000000" w:rsidRPr="00000000" w:rsidDel="00000000">
              <w:rPr>
                <w:rtl w:val="0"/>
              </w:rPr>
              <w:t xml:space="preserve">. panta (1)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par iepriekšējo kalendāra gadu. Šo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