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demogrāfiskās politikas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56. lapu par U3A ieviešanu, papildinot rindkopu ar apsvērumu, ka ne tikai senioru skolu tīkla izveide Latvijā veicinātu aktīvu un veselīgu dzīvesveidu, bet arī būtu svarīga komponente konkurētspējas saglabāšanai senioru vidū. Patlaban esošā redakcija liek lielāku uzsvaru uz mūžizglītību kā veselīgā dzīvesveida uzturēšanu, taču tas arī veicina senioru iekļaušanos darba tirgū (aktīva novecošanās).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Ekonomikas ministrija ir ieguvusi papildu finanšu līdzekļus Zemas īres maksas mājokļu programmas īstenošanai (vairāk informācijas par finansējumu un tā avotu skatīt tiesību aktu lietā Nr. 25-TA-101), aicinām svītrot informāciju no informatīvā ziņojuma par nepieciešamību piesaistīt papildus līdzekļus programmas īstenošanai projekta 46./47. lappusē un svītrot zemsvītras atsauci 2.2.1. pasākumam (100. zemsvītras atsauce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Niks Balinskis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pasākumu 6.1.2., pārfrāzējot punktu par senioru skolu tīkla izveidi, jo šāds pasākums nav iekļauts Cilvēkkapitāla attīstības rīcības plānā 2025.-2027. gadam. Vienlaikus par šāda pasākuma pieminēšanu nav iebildumu.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52.-53. lapa: aicinām izvērtēt iespēju papildināt rindkopu par NVA atbalstu nodarbinātības veicināšanai jauniešiem ar to, ka būtu nepieciešams rast iespēju paplašināt NVA jauniešu vasaras nodarbinātības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pieejamās informācijas ir zināms, ka 2024. gada vasarā uz nodarbinātības programmu ir pieteikušies 21626 jaunieši, no kuriem veiksmīgi nodarbinātībā piedalījās 9102 unikālas personas, no kā secināms, ka interese ir liela, bet mazākums var izmantot šo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nodarbināšanas iespējas veicina viņu kompetenču attīstību, izpratni par darba tirgū noritošiem procesiem un pieprasījumu pēc prasmēm un zināšanām, kā arī veicina atbildības sajūtas veidošanos. Šie aspekti ir būtiski jauniešu konkurētspējas celšanai, mazina sociālās atstumtības riskus un rada jaunietim nākotnes iespējas vairot savu labklājību.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54. lapā ietvertā rindkopa: "</w:t>
            </w:r>
            <w:r w:rsidR="00000000" w:rsidRPr="00000000" w:rsidDel="00000000">
              <w:rPr>
                <w:i w:val="1"/>
                <w:rtl w:val="0"/>
              </w:rPr>
              <w:t xml:space="preserve">Zināšanu un prasmju pilnveidošana visa mūža garumā ir īpaši svarīga konkurētspējas saglabāšanai darba tirgū un jo īpaši gados vecākajiem cilvēkiem, tāpēc jāturpina cilvēku motivācijas pasākumi, lai mudinātu apgūt jaunas prasmes un iemaņas, kuras pieprasa mūsdienu mainīgais darba tirgus. Savukārt, pašiem cilvēkiem jāizmanto iespējas piedāvāt savas prasmes darba devējiem, būt aktīviem un sekot līdzi aktualitātēm darba tirgū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 rindkopu, pamatojoties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prasmju pilnveide ne tikai ir būtiska konkurētspējas saglabāšanai, bet arī rada iespējas produktivitātes un, attiecīgi, atalgojuma kāpumam, kas ir būtiski labklājības vairošanai.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prasmju pilnveide mazina bezdarba risku tehnoloģiju attīstības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arī darba devējiem nepieciešams kāpināt atbalstu savu nodarbināto prasmju pilnveidei un mācībām. EM ir izstrādājusi ES fondu finansēto programmu, lai veicinātu darba devēju iesaisti darbinieku mācīšanā, proti SAM 4.2.4.1. "Atbalsts nozaru vajadzībās balstītai pieaugušo izglītībai", kas attiecas arī uz nodarbinātiem senioriem.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projektu ar papildus informāciju par veiktajām izmaiņām mājokļu garantiju programmā un subsīdijā "Balsts" projekta 47. lappusē. Aicinām papildināt minēto informāciju ar papildus veiktajām izmaiņām tajā pašā datumā (izmaiņas iekrāsotas treknrakstā)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 tika būtiski palielinātas pieejamās garantijas ģimenēm ar bērniem, kuras vēlas mājokli iegādāties vai būvēt kādā no Latvijas reģioniem. Garantijas reģionos ir pieejamas 30%, 40% vai pat 50% apmērā no aizdevuma summas. </w:t>
            </w:r>
            <w:r w:rsidR="00000000" w:rsidRPr="00000000" w:rsidDel="00000000">
              <w:rPr>
                <w:b w:val="1"/>
                <w:rtl w:val="0"/>
              </w:rPr>
              <w:t xml:space="preserve">Lai veicinātu plašāku un kvalitatīvāku mājokļu iegādi, tika palielināts maksimālais aizdevums no 250 000 euro uz 300 000 euro, lai ģimene kvalificētos garantijas saņemšanai, kā arī tika atvieglots process, lai saņemtu atkārotu garantiju cita mājokļa iegādei vai būvniecībai, ja ģimenē, piemēram, piedzimst jauns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Niks Balinskis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46. lappusē minēto par Mājokļu pieejamības fondu: "No mājokļu pieejamības fonda līdzekļiem ir paredzēts būvēt zemas īres maksas mājokļus mājsaimniecībām, kuras ir pietiekami turīgas, lai tās saņemtu pašvaldību palīdzību mājokļa jautājumu risināšanā, taču to ienākumi ir pārāk zemi, lai spētu iegādāties vai izīrēt mājokli par tirgus nosacījumiem", izsakot to šādā redakcijā: No mājokļu pieejamības fonda līdzekļiem ir paredzēts būvēt zemas īres maksas mājokļus mājsaimniecībām, kuras ir </w:t>
            </w:r>
            <w:r w:rsidR="00000000" w:rsidRPr="00000000" w:rsidDel="00000000">
              <w:rPr>
                <w:b w:val="1"/>
                <w:rtl w:val="0"/>
              </w:rPr>
              <w:t xml:space="preserve">pārāk </w:t>
            </w:r>
            <w:r w:rsidR="00000000" w:rsidRPr="00000000" w:rsidDel="00000000">
              <w:rPr>
                <w:rtl w:val="0"/>
              </w:rPr>
              <w:t xml:space="preserve">turīgas, lai tās saņemtu pašvaldību palīdzību mājokļa jautājumu risināšanā, taču to ienākumi ir pārāk zemi, lai spētu iegādāties vai izīrēt mājokli par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mājokļu pieejamības fonda līdzekļiem ir paredzēts būvēt zemas īres maksas mājokļus mājsaimniecībām, kuras ir pārāk turīgas, lai tās saņemtu pašvaldību palīdzību mājokļa jautājumu risināšanā, taču to ienākumi ir pārāk zemi, lai spētu iegādāties vai izīrēt mājokli par tirgus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Niks Balinskis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sadaļas par pasākumiem ar augstāko novērtējumu (16.lpp), punktā "ģimenei piemērota dzīvesvieta"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īres mājokļu attīstība, aizdevumu un garantiju pieejamība nekustamo īpašumu attīstīšanai dzīvojamo māju būvniecībai reģionos uz tirgus nosacījumiem, papildināti esošie un izstrādāti jauni atbalsta instrumenti mājokļa nodrošināšanai, </w:t>
            </w:r>
            <w:r w:rsidR="00000000" w:rsidRPr="00000000" w:rsidDel="00000000">
              <w:rPr>
                <w:b w:val="1"/>
                <w:rtl w:val="0"/>
              </w:rPr>
              <w:t xml:space="preserve">finansējuma nodrošinājums subsīdijas "Balsts" īstenošanai. </w:t>
            </w:r>
            <w:r w:rsidR="00000000" w:rsidRPr="00000000" w:rsidDel="00000000">
              <w:rPr>
                <w:rtl w:val="0"/>
              </w:rPr>
              <w:t xml:space="preserve">Lasot šī brīža redakciju "[...] subsīdiju “Balsts” paredzēto līdzekļu kredītprocentu kompensēšanai pārpalikums novirzāms, lai palielinātu esošo atbalsta programmu mājokļu iegādei līdzfinansēšanai" var sniegt maldīgu priekštatu, ka ar subsīdiju "Balsts" tiek kompensēti kredītprocenti, kas nav taisnība. Subsīdijas "Balsts" mērķis ir sniegt atbalstu daudzbērnu ģimenēm bankas aizdevuma </w:t>
            </w:r>
            <w:r w:rsidR="00000000" w:rsidRPr="00000000" w:rsidDel="00000000">
              <w:rPr>
                <w:u w:val="single"/>
                <w:rtl w:val="0"/>
              </w:rPr>
              <w:t xml:space="preserve">pirmās iemaksas</w:t>
            </w:r>
            <w:r w:rsidR="00000000" w:rsidRPr="00000000" w:rsidDel="00000000">
              <w:rPr>
                <w:rtl w:val="0"/>
              </w:rPr>
              <w:t xml:space="preserve"> samazināšanai mājokļa iegādei vai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Niks Balinskis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56. lapu par NVA projektu "Prasmju pilnveide pieaugušajiem". Projekta saistošie MK noteikumi ir Nr. 323, kurā kā projekta mērķgrupa ir norādītas arī bezdarba riskam pakļautās personas. Tādēļ nav skaidrs, kādēļ seniori drīkst piedalīties projektā tikai kā darba meklētāji, ja seniori var būt arī nodarbināti.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DEMOGRĀFISKĀS POLITIKAS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dokumentā nomainīt nosaukumu no "Cilvēkkapitāla attīstības rīcības plāns 2024-2027" uz "Cilvēkkapitāla attīstības rīcības plāns 2025.-2027.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18.02.2025.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24-TA-2661</w:t>
    </w:r>
    <w:r>
      <w:br/>
    </w:r>
    <w:r w:rsidR="00000000" w:rsidRPr="00000000" w:rsidDel="00000000">
      <w:rPr>
        <w:rtl w:val="0"/>
      </w:rPr>
      <w:t xml:space="preserve">Izdrukāts 18.02.2025.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Atzinumi_24-TA-2661.docx</dc:title>
</cp:coreProperties>
</file>

<file path=docProps/custom.xml><?xml version="1.0" encoding="utf-8"?>
<Properties xmlns="http://schemas.openxmlformats.org/officeDocument/2006/custom-properties" xmlns:vt="http://schemas.openxmlformats.org/officeDocument/2006/docPropsVTypes"/>
</file>