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rūpnieciskie apaļkoki - zāģbaļķi, finierkluči, papīrmalka (apaļkoku vai šķeltā veidā), kā arī citi apaļkoki, kas ir derīgi rūpnieciskai izmantošanai, izņemot apaļkokus, kuru raksturlielumi, piemēram, suga, izmēri, taisnums un zarainums, tos dara nederīgus rūpnieciskai izmantošanai, ko atkarībā no attiecīgajiem meža un tirgus apstākļiem definē un pienācīgi pamato dalībvalstis;".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nozares piedāvāto definīciju un ciktāl iespējams saskaņot ar nozari pirms likumprojekta tālākas virzības.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rūpnieciskie apaļkoki –apaļie kokmateriāli, kas  atbilst Latvijas valsts standartam noteiktajām visu sugu zāģbaļķu, finierkluču, stabu, mietu, būvbalķu un taras kluču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28.10.2024.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28.10.2024.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Atzinumi_24-TA-1475.docx</dc:title>
</cp:coreProperties>
</file>

<file path=docProps/custom.xml><?xml version="1.0" encoding="utf-8"?>
<Properties xmlns="http://schemas.openxmlformats.org/officeDocument/2006/custom-properties" xmlns:vt="http://schemas.openxmlformats.org/officeDocument/2006/docPropsVTypes"/>
</file>