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precizētajā Ministru kabineta rīkojuma projektā, tā anotācijā un pasē ir precizēts uzturēšanai pēc projekta pabeigšanas nepieciešamais finansējuma apmērs, lūdzam anotācijas 3. sadaļas 6. punktā sniegtajā informācijā par bāzes izdevumos uzturēšanas izdevumiem pieejamo finansējumu iekavās norādīt aktualizēto uzturēšanai pēc projekta pabeigšanas nepieciešamo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apmēru un paredzamo sarežģītību (liela, savstarpēji integrēta, sarežģīta IS), aicinām Iekšlietu ministriju izvērtēt iespējas maksimāli ātrāk uzsākt projekta īstenošanu, negaidot 2026.gada IV ceturksni, lai nodrošinātu to, ka darbs pie informācijas sistēmas izstrādes ir pabeigts projektā plānotajos termiņos, kā arī E-krass sistēma pirms tam ir tikusi notestēta pirms tās palaišanas produkcijas vidē (ekspluatācijā). Vēršam Iekšlietu ministrijas uzmanību uz testēšanas būtisko lomu pirms darbu pieņemšanas, tas būtiski samazina vēlākas izmaksas un laiku sistēmas atkļūdošanai un veiksmīgai ekspluatācijai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16.04.2026.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16.04.2026.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