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tiesības veikt tiešsaistes saturu ierobežošanu atbilstoši kompetencei ir  Patērētāju tiesību aizsardzības centram, Veselības inspekcijai, Izložu un azartspēļu uzraudzības inspekcijai, Nacionālā elektronisko plašsaziņas līdzekļu padomei un Valsts ieņēmumu dienestam. Uzskatām, ka jāaktualizē jautājums par subjektu, kas būtu atbildīgs par tiešsaistes investīciju krāpšanas satura ierobežošanu.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tiešsaistes investīciju krāpšanas īpatsvars ievērojami pieaug katru gadu. Dati par 2024. gadu vēl tiek apkopoti, taču piemēram, pamatojoties uz Finanšu nozares asociācijas statistikas datiem par 2023. gadu (https://www.financelatvia.eu/wp-content/uploads/2023/12/Screenshot-2024-01-29-092211.png) jāsecina, ka jau 2023.gadā bija nepieciešama skaidra vīzija tam, kurš un kā nodrošinās tiešsaistes investīciju krāpšanas satura ierobežošanu. Joprojām, jautājums par kompetenci nav atrisināts.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jomas specifiku un attiecīgu zināšanu nepieciešamību, kompetenci tiešsaistes satura ierobežošanai šajā jomā varētu noteikt Latvijas Bankai, vai noteikt dubultkompetenci Latvijas Bankai un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Vegneris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