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Konkurences likumā (Latvijas Republikas Saeimas un Ministru Kabineta Ziņotājs, 2001, 22. nr.; 2004, 10. nr.; 2008, 9., 24. nr.; 2009, 14. nr.; Latvijas Vēstnesis, 2009, 194. nr.; 2013, 188. nr.; 2015, 107. nr.; 2016, 104. nr.; 2017, 208. nr.; 2019, 71. nr.; 2021, 234A nr.; 2022, 120. nr.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2024.gada 9.janvāra sēdes protokola Nr.1 71.§ "Informatīvais ziņojums "Par īstenojamiem pasākumiem, lai veicinātu aktīvāku publisko pasūtītāju iesaisti zaudējumu atgūšanā, kas tiem radušies organizētajos iepirkumos tirgus dalībnieku īstenoto konkurences tiesību pārkāpumu dēļ"" uzdoto uzdevumu izvērtēt nepieciešamību sagatavot priekšlikumus grozījumiem publisko iepirkumu jomu reglamentējošajos normatīvajos aktos, lai noteiktu publisko iepirkumu līgumos ietveramās pušu tiesības un pienākumus konkurences tiesību pārkāpuma gadījumā, Finanšu ministrija kopīgi ar Iepirkumu uzraudzības biroju ir secinājusi, ka grozījumi publiskos iepirkumus regulējošajos normatīvajos aktos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publiskais pasūtītājs līgumus slēdz ne tikai publiska iepirkuma rezultātā (piemēram, tieši piešķirot pakalpojumu valsts līgumu saskaņā ar 2007. gada 23. oktobra Eiropas Parlamenta un Padomes Regulas (EK) Nr. 1370/2007 par sabiedriskā pasažieru transporta pakalpojumiem, izmantojot dzelzceļu un autoceļus, un ar ko atceļ Padomes Regulu (EEK) Nr. 1191/69 un Padomes Regulu (EEK) Nr. 1107/70). Tādējādi zaudējumu rašanās potenciāls publiskajam pasūtītājam tirgus dalībnieku īstenoto konkurences tiesību pārkāpumu dēļ ir plašāks par Publisko iepirkumu likuma regulējuma tvērumu. Attiecīgi īstenojamie pasākumi, lai veicinātu aktīvāku publisko pasūtītāju iesaisti zaudējumu atgūšanā, kas tiem radušies tirgus dalībnieku īstenoto konkurences tiesību pārkāpumu dēļ, būtu nosakāmi konkurences tiesību vispārīgajā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w:t>
            </w:r>
            <w:r w:rsidR="00000000" w:rsidRPr="00000000" w:rsidDel="00000000">
              <w:rPr>
                <w:i w:val="1"/>
                <w:rtl w:val="0"/>
              </w:rPr>
              <w:t xml:space="preserve">Grozījumi Konkurences likumā ar </w:t>
            </w:r>
            <w:r w:rsidR="00000000" w:rsidRPr="00000000" w:rsidDel="00000000">
              <w:rPr>
                <w:rtl w:val="0"/>
              </w:rPr>
              <w:t xml:space="preserve">regulējumu publiskajiem pasūtītājiem īstenojamiem pasākumiem, lai veicinātu aktīvāku iesaisti zaudējumu atgūšanā, kas tiem radušies tirgus dalībnieku īstenoto konkurences tiesību pārkāpumu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tiks nodrošināta likumā “Par valsts budžetu 2024. gadam un budžeta ietvaru 2024., 2025. un 2026. gadam” Ekonomikas ministrijas budžeta apakšprogrammā 26.02.00 “Konkurences politikas ieviešana” prioritārajam pasākumam “Atbalsta sniegšana publiskajiem pasūtītājiem karteļa vienošanās rezultātā nodarīto zaudējumu atgūšanā” piešķirtā finansējuma ietvaros 2024.gadā 360 128 euro apmērā, 2025.gadā 322 799 euro apmērā un 2026.gadā 322 096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24-TA-409</w:t>
    </w:r>
    <w:r>
      <w:br/>
    </w:r>
    <w:r w:rsidR="00000000" w:rsidRPr="00000000" w:rsidDel="00000000">
      <w:rPr>
        <w:rtl w:val="0"/>
      </w:rPr>
      <w:t xml:space="preserve">Izdrukāts 11.04.2024.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24-TA-409</w:t>
    </w:r>
    <w:r>
      <w:br/>
    </w:r>
    <w:r w:rsidR="00000000" w:rsidRPr="00000000" w:rsidDel="00000000">
      <w:rPr>
        <w:rtl w:val="0"/>
      </w:rPr>
      <w:t xml:space="preserve">Izdrukāts 11.04.2024.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Atzinumi_24-TA-409.docx</dc:title>
</cp:coreProperties>
</file>

<file path=docProps/custom.xml><?xml version="1.0" encoding="utf-8"?>
<Properties xmlns="http://schemas.openxmlformats.org/officeDocument/2006/custom-properties" xmlns:vt="http://schemas.openxmlformats.org/officeDocument/2006/docPropsVTypes"/>
</file>