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pašvaldība – tās īpašumā vai valdījumā esošas infrastruktūras izveidei, kā arī jaunu pamatlīdzekļu iegādei un uzstādīšanai, kopīgi ar fiziskām un juridiskām personām, kas veic saimniecisku darbību, ja starp kopprojekta dalībniekiem ir noslēgts līgums un projektu īsteno lauku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Konsultācijās ar zemkopības ministriju pašvaldībām sniegts skaidrojums, ka tās var realizēt projektus aktivitātē "Kopienu spēcinošas un vietas attīstību sekmējošas iniciatīvas" visā pašvaldības teritorijā nevis tikai pašvaldības lauku teritorijā. No esošās redakcijas izriet, ka pašvaldība kvalificējas vien tad, ja projektu īsteno lauku teritorijā. Lai novērstu pretrunu ir nepieciešams svītrot vai precizēt (paplašināt) noteikumu projektā izmantoto pašvaldības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pašvaldība – tās īpašumā vai valdījumā esošas infrastruktūras izveidei, kā arī jaunu pamatlīdzekļu iegādei un uzstādīšanai, kopīgi ar fiziskām un juridiskām personām, kas veic saimniecisku darbību, ja starp kopprojekta dalībniekiem ir noslēgts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šo noteikumu </w:t>
            </w:r>
            <w:r w:rsidR="00000000" w:rsidRPr="00000000" w:rsidDel="00000000">
              <w:rPr>
                <w:rtl w:val="0"/>
              </w:rPr>
              <w:t xml:space="preserve">6.4.3. </w:t>
            </w:r>
            <w:r w:rsidR="00000000" w:rsidRPr="00000000" w:rsidDel="00000000">
              <w:rPr>
                <w:rtl w:val="0"/>
              </w:rPr>
              <w:t xml:space="preserve">apakšpunktā</w:t>
            </w:r>
            <w:r w:rsidR="00000000" w:rsidRPr="00000000" w:rsidDel="00000000">
              <w:rPr>
                <w:rtl w:val="0"/>
              </w:rPr>
              <w:t xml:space="preserve"> minētajā gadījumā –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priekšnosacījums, ka projektam jābūt īstenotam pašvaldības lauku teritorijā attiecināms uz šo konkrēto punktu, tad izteikt 12.1.4.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šo noteikumu 6.4.3. apakšpunktā minētajā gadījumā – pašvaldība, kuras projektu īsteno lauku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Atbalstu jauniešu iniciatīvām, ja projektu īsteno lauku teritorijā un to paredz vietējās attīstības stratēģija, var saņemt kā fiksētas summas maksājumu "Jauniešu iniciatīvas", izmantojot Zemkopības ministrijas apstiprināto metodiku fiksētās summas maksājuma piemērošanai.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kāpēc šo aktivitāti var realizēt tikai lauku teritorijās, jo jauniešu iniciatīvas būtu atbalstāmas visā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aktivitātē "Vietējās ekonomikas stiprināšanas iniciatīvas" ir 40 procentu, bet vietējā attīstības stratēģijā noteiktos gadījumos tā var tikt paaugstināta līdz 65 vai līdz 75 procentiem, ja to paredz vietējās attīstības stratēģija,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 lūdz precizēt pamatlikmi 65%, ņemot vērā, ka Regula (ES) 2021/2115 73.panta 4. apakšpunkts nosaka, ka dalībvalstis atbalstam nosaka vienu vai vairākas likmes, kas nepārsniedz 65 % no attiecināmajām izmaksām līdz 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MVU darbības stimulēšana ir nozīmīga Latgales reģiona un pierobežas attīstībai (Latgales attīstības programmas 2023.-2027. 3.4.1. prioritāte “Iesācēji”), sevišķi pierobežas zonā, kur Krāslavas novadā ir strauja iedzīvotāju skaita samazināšanās un, piemēram, tūrisma nozarē darbojošies MVU nesaņem papildus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aktivitātē "Vietējās ekonomikas stiprināšanas iniciatīvas" ir 65 procenti, bet vietējā attīstības stratēģijā noteiktos gadījumos tā var tik paaugstināta līdz 65 procentiem vai līdz 85 procentiem, ja to paredz vietējās attīstības stratēģija,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investīcijas paredzētas pamatpakalpojumiem lauku teritorijā izglītības, sociālās palīdzības vai veselības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iekļaujot arī tūrisma jomu. MVU darbības stimulēšana ir nozīmīga Latgales reģiona un pierobežas attīstībai (Latgales attīstības programmas 2023.-2027. 3.4.1. prioritāte “Iesācēji”), sevišķi pierobežas zonā, kur Krāslavas novadā ir strauja iedzīvotāju skaita samazināšanās un, piemēram, tūrisma nozarē darbojošies MVU nesaņem papildus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investīcijas paredzētas pamatpakalpojumiem lauku teritorijā izglītības, sociālās palīdzības, tūrisma vai veselības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projekta iesnieguma sagatavošanas izmaksas un vispārējās izmaksas (tajā skaitā arhitektu, inženieru un konsultantu honorāri, ekspertīzes, būvuzraudzības un autoruzraudzības pakalpojumu, juridisko pakalpojumu, tehniski ekonomiskā pamatojuma, patentu un licenču saņemšanas un energoefektivitātes audita sagatavošanas izmaksas, kā arī maksa par nomas līguma reģistrāciju zemesgrāmatā), kas ir tieši saistītas ar projekta sagatavošanu vai īstenošanu, piemērojot Zemkopības ministrijas apstiprināto vienotās likmes aprēķina metodiku, ja vien atbalsta pretendents nav Publisko iepirkumu likuma 1. panta 19. punktā minētais pasūtītājs;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ierosina papildināt un iekļaut attiecināmajās izmaksās tehniskās dokumentācijas izstrādes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informācija par Būvniecības informācijas sistēmā pieejamu būvvaldes saskaņojumu vai izziņu par projektā paredzēto atsevišķu labiekārtojuma elementu ierīkošanu un novietošanu, kuriem nav vajadzīga būvniecības ieceres dokumentācija;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51.7. punktā norādīts, ka informācija par Būvniecības informācijas sistēmā pieejamu būvvaldes saskaņojumu vai izziņu par projektā paredzēto atsevišķu labiekārtojuma elementu ierīkošanu un novietošanu, kuriem nav vajadzīga būvniecības ieceres dokumentācija. No šī nav skaidri saprotams: vai pietiek, ja projekta pieteikumam pielikumā pievienota Būvvaldes izziņa, ka būvniecības ieceres dokumentācija nav nepieciešama, vai tomēr kāds cits dokuments BIS? Un vai tehniski būs iespējams to izdarīt , jo BIS būvniecības lieta veidojas tad, kad ir nepieciešama tehniskā dokumentācija. Lūgums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23-TA-731</w:t>
    </w:r>
    <w:r>
      <w:br/>
    </w:r>
    <w:r w:rsidR="00000000" w:rsidRPr="00000000" w:rsidDel="00000000">
      <w:rPr>
        <w:rtl w:val="0"/>
      </w:rPr>
      <w:t xml:space="preserve">Izdrukāts 19.06.2023.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23-TA-731</w:t>
    </w:r>
    <w:r>
      <w:br/>
    </w:r>
    <w:r w:rsidR="00000000" w:rsidRPr="00000000" w:rsidDel="00000000">
      <w:rPr>
        <w:rtl w:val="0"/>
      </w:rPr>
      <w:t xml:space="preserve">Izdrukāts 19.06.2023.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Atzinumi_23-TA-731.docx</dc:title>
</cp:coreProperties>
</file>

<file path=docProps/custom.xml><?xml version="1.0" encoding="utf-8"?>
<Properties xmlns="http://schemas.openxmlformats.org/officeDocument/2006/custom-properties" xmlns:vt="http://schemas.openxmlformats.org/officeDocument/2006/docPropsVTypes"/>
</file>