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1.panta pirmās daļas papildināšana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vēlreiz pārskatīt un salāgot šo abu jēdzienu lietojumu likumprojekta turpmākajās pantu un to daļu redakcijās, kā arī anotācijā, jo atsevišķās redakcijās šie jēdzieni ir savā starpā sajaukti. Piemēram, likumprojekta 58.2 panta ceturtajā daļā ir ietverts vārdu savienojums “atjaunojamā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1.panta pirmās daļas papildināšana ar 1.</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Atkritumi ir definēti Atkritumu apsaimniekošanas likumā. Ja tajā esošā definīcija nav visaptveroša, attiecīgie definīcijas precizējumi ir jāveic Atkritumu apsaimniekošanas likumā, ievērojot, ka visiem jēdzieniem ir jāietilpst vienotā tiesību sistēmā un būtu jāizvairās no viena jēdziena dažādām definīcijām, Regulators ierosina minēto definīciju izslēgt no likuma, lai izvairītos no dublēšanās. Cita starpā, jānorāda, ka 1.panta 1.5 un 1.6 punktos tiek lietots termins “terciālais sektors”, tomēr tas likumprojekta tekstā netiek skaidrots. Aicinām to skaidrot vismaz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1.panta pirmās daļas 11.punkta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nav saprotams, kas šajā definīcijā ir domāts ar vārdu “abi” (turpmāk abi kopā – dabasgāze). Ievērojot minēto, redakcija būtu precizējama, vai nu turpmāk tekstā, kur pirmo reizi parādās “dabasgāze (tostarp sašķidrinātā dabasgāze) un citu veidu gāzveida kurināmais [..]” lietot saīsinājumu “turpmāk – dabasgāze”, vai arī dabasgāzes sadaļu definīcijā pārcelt uz teikuma pirmo daļu, “kā arī iegūtā elektroenerģija, siltumenerģija vai aukstumenerģija” atstājot definīcijas noslēgumā.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1.panta pirmās daļas 13. un 15.punkta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punktos ir jānorāda, par kādu enerģiju ir runa, jo “enerģija” ietver arī siltumenerģiju, bet “siltumenerģijas pārvade un sadale” likuma 1.panta pirmās daļas 42.2 punktā ir noteikta atsevišķā terminā.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1.panta pirmās daļas papildināšana ar 42.</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likumprojektā ietvert normu, kas likuma 1.panta pirmo daļu papildina ar 42.</w:t>
            </w:r>
            <w:r w:rsidR="00000000" w:rsidRPr="00000000" w:rsidDel="00000000">
              <w:rPr>
                <w:vertAlign w:val="superscript"/>
                <w:rtl w:val="0"/>
              </w:rPr>
              <w:t xml:space="preserve">3</w:t>
            </w:r>
            <w:r w:rsidR="00000000" w:rsidRPr="00000000" w:rsidDel="00000000">
              <w:rPr>
                <w:rtl w:val="0"/>
              </w:rPr>
              <w:t xml:space="preserve"> punktu, definējot “siltumapgādes komersantu”, kas turpmāk tiek lietots likumprojekta tekstā. Termina formulējumā ņemts vērā, ka siltumapgādē sadale un pārvade ir vienots process un to, ka siltumenerģijas tirdzniecība vienmēr saistīta ar pārvadi un sadali.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Likuma 2.panta papildināšana aiz vārdiem “tirdzniecību un izmantošanu” ar vārdiem “kā arī pētniecību enerģētikas jomā sabiedrības interesēm atbilstošai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uztur iebildumu, ka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Saskaņā ar Zinātniskās darbības likuma 13.panta otrās daļas trešo punktu Ministru kabinets apstiprina prioritāros zinātņu virzienus un valsts pētījumu programmas. Līdz ar to nav pamatoti Enerģētikas likuma tvērumu paplašināt, radot interpretācijas riskus, ka pētniecība enerģētikas jomā ir regulējama un, pretēji Zinātniskās darbības likuma tiesiskajam regulējumam, Ministru kabinets neapstiprina prioritāros zinātņu virzienus un valsts pētījumu programmas attiecībā uz enerģētikas nozari. Ņemot vērā minēto, Likumprojekta 3. un 4.pants ir jāizslēdz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paredzēts regulējums, kas noteikts likuma 47.panta jaunajā redakcijā, nepieciešams izslēgt likuma 6.panta 3prim daļu, likumprojektu papildinot ar attiecīgu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Nepieciešams izslēgt likuma 6.panta 3prim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paredzēts regulējums, kas noteikts likuma 47.panta jaunajā redakcijā, nepieciešams izslēgt likuma 6.panta 3prim daļu, likumprojektu papildinot ar attiecīgu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Likuma 16.panta trešās daļas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likuma 16.panta trešā daļa pašreizējā redakcijā svītrojama, jo nav definēts ne aukstumapgādes sistēmas operators, ne arī nekur nav paredzēts, ka aukstumapgādes sistēmas operatoriem, ja tādi tiktu veidoti, būtu paredzētas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16.panta  papildināšana ar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satura tiesību normu iespējams izveidot tikai attiecībā uz atlikumsiltumu. Nekur nav paredzēts noteikt “aukstumenerģijas gala tarifus”. Ja nepieciešams, attiecībā uz atlikumaukstumu jāveido cita satura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Likuma 47.panta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konkrēti un ar pareizajiem saikļiem norādīt siltumapgādē veicamās darbības, ko siltumapgādē  noteic pārvades un sadales vienotais process (attiecīgie likumprojekta termini) un  Ministru Kabineta 2009.gada 27.oktobra noteikumu Nr.1227 “Noteikumi par regulējamiem sabiedrisko pakalpojumu veidiem” 3.2. un 3.3.apakšpunkti,  jo siltumapgādē tirdzniecība ir saistīta ar sadali un pārvadi.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47.panta trešajā daļā nepieciešams subjekta “siltumapgādes komersants” vietā norādīt “komersants”, jo attiecīgās darbības var veikt arī neregulēti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Likuma 49.panta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49.panta pirmajā daļā norādīt atsauci uz trešo daļu (nevis ceturto) un svītrot trešajā daļā “no ražotājiem”, jo nav būtiski no kāda statusa komersantiem siltumenerģija tiek iepirkta.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Likuma papildināšana ar X1 nodaļu “Atjaunojamo energoresursu izmantošana un atjaunīgās enerģijas ražošanas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Enerģētikas likuma 4.pantam enerģētikas politika ir valsts tautsaimniecības politikas sastāvdaļa, un tās pamatprincipus, mērķus un virzienus nosaka Ministru kabinets politikas plānošanas dokumentos, Regulators aicina izvērtēt minētajā nodaļā ietvertās normas, kas saistāmas ar politikas plānošanu atjaunīgās enerģijas izmantošanas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piemēram, 58.1 panta pirmajā daļā norādītais izriet no regulējuma, kas ietverts ministrijas nolikumā funkciju sadaļā. Ja minētās normas mērķis ir salāgot nacionālo tiesisko regulējumu ar Regulā 2018/1999 minētajām normām saistībā ar plānu/stratēģiju, to būtu nepieciešams skaidri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izprotams, kādēļ 58.1 panta otrajā daļā ir detalizēti jāuzskaita, ja ir saistību izpilde, tad par to arī jāatskaitās tādā formā, kas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Regulatora ieskatā, būtu jāprecizē, kas 58.1 panta trešajā daļā ir saprotams ar apgalvojumu “saistību pārsniegums ir valsts īpašums, kura tiesiskais valdītājs ir Klimata un enerģētikas ministrija”, ievērojot, ka valdījumā vispārēji var būt kustamas vai nekustamas lietas, savukārt “saistības” ir no darījumiem izrietošs pienākums. Ja Ministru kabinets nosaka datu uzskaiti, tad Ministru kabineta noteikumos būtu arī jānosaka, kādā veidā tas tiek izdarīts. 58.1 panta ceturtā daļa paredz, ka  Ministru kabinets nosaka atjaunīgās enerģijas datu aprēķināšanas un kopējā atjaunīgās enerģijas apjoma noteikšanas nosacījumus. Regulatora ieskatā, Ministru kabineta noteikumos arī tiks noteikts visu nepieciešamo datu kopums, kā arī kārtība, kādā novērtē saistību izpildi. Ievērojot minēto, Regulators aicina izvērtēt šīs panta daļas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Likuma papildināšana ar 58.</w:t>
            </w:r>
            <w:r w:rsidR="00000000" w:rsidRPr="00000000" w:rsidDel="00000000">
              <w:rPr>
                <w:vertAlign w:val="superscript"/>
                <w:rtl w:val="0"/>
              </w:rPr>
              <w:t xml:space="preserve">2</w:t>
            </w:r>
            <w:r w:rsidR="00000000" w:rsidRPr="00000000" w:rsidDel="00000000">
              <w:rPr>
                <w:rtl w:val="0"/>
              </w:rPr>
              <w:t xml:space="preserve">panta pirmās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lietota atsauce uz 122.panta trešās daļas 1.punktu, taču norādāms, ka šāds punkts neeksistē. 58.1 panta pirmajā daļā ir uzskaitīts, kas ir bruto elektroenerģijas gala patēriņš. Regulators norāda, ka bruto elektroenerģijas gala patēriņu nosaka un aprēķina Centrālā statistikas pārvalde atbilstoši normatīvajiem dokumentiem, ieskaitot ar Eurostat koordinētu atskaišu saņemšanu un apkopošanu, kurās viens no pamata rādītājiem ir bruto enerģijas patēriņš.  Regulators lūdz saskaņot ar Centrālo statistikas pārvaldi arī 58.1 panta ceturtajā daļā paredzēto Ministru kabineta noteikumu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Regulatora ieskatā, būtu jāprecizē, kas 58.1 panta trešajā daļā ir saprotams ar apgalvojumu “saistību pārsniegums ir valsts īpašums, kura tiesiskais valdītājs ir Klimata un enerģētikas ministrija”, ievērojot, ka valdījumā vispārēji var būt kustamas vai nekustamas lietas, savukārt “saistības” ir no darījumiem izrietošs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Likuma papildināšana ar 58.</w:t>
            </w:r>
            <w:r w:rsidR="00000000" w:rsidRPr="00000000" w:rsidDel="00000000">
              <w:rPr>
                <w:vertAlign w:val="superscript"/>
                <w:rtl w:val="0"/>
              </w:rPr>
              <w:t xml:space="preserve">2</w:t>
            </w:r>
            <w:r w:rsidR="00000000" w:rsidRPr="00000000" w:rsidDel="00000000">
              <w:rPr>
                <w:rtl w:val="0"/>
              </w:rPr>
              <w:t xml:space="preserve">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vārda “dalību” papildināt ar vārdu “Eiropas”. Regulators aicina šādu formulējumu izmantot arī citur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Likuma papildināšana ar 58.</w:t>
            </w:r>
            <w:r w:rsidR="00000000" w:rsidRPr="00000000" w:rsidDel="00000000">
              <w:rPr>
                <w:vertAlign w:val="superscript"/>
                <w:rtl w:val="0"/>
              </w:rPr>
              <w:t xml:space="preserve">3</w:t>
            </w:r>
            <w:r w:rsidR="00000000" w:rsidRPr="00000000" w:rsidDel="00000000">
              <w:rPr>
                <w:rtl w:val="0"/>
              </w:rPr>
              <w:t xml:space="preserve">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paskaidrojums, kas ir domāts ar “atjaunīgās enerģijas apjoma ieskaites nosacījumiem”. Vēršam uzmanību, ka šajā nodaļā kopumā tiek lietoti daudzi jēdzieni/vārdu savienojumi, kas nav izskaidroti.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Likuma papildināšana ar 58.</w:t>
            </w:r>
            <w:r w:rsidR="00000000" w:rsidRPr="00000000" w:rsidDel="00000000">
              <w:rPr>
                <w:vertAlign w:val="superscript"/>
                <w:rtl w:val="0"/>
              </w:rPr>
              <w:t xml:space="preserve">4</w:t>
            </w:r>
            <w:r w:rsidR="00000000" w:rsidRPr="00000000" w:rsidDel="00000000">
              <w:rPr>
                <w:rtl w:val="0"/>
              </w:rPr>
              <w:t xml:space="preserve">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panta pirmajā daļā tiek lietots vārdu savienojums “var ņemt vērā”, tomēr, ja ir dati, tad būtu jābūt skaidri noteiktam, kādus datus ņemt un kādus - neņemt vērā. Papildus Regulators vērš uzmanību, ka šā panta ceturtajā daļā ir ietverts jēdziens “sadzīves atkritumi”, savukārt likumprojekta 2.pants paredz likuma 1.panta pirmo daļu papildināt ar 1.3punktu, definējot jēdzienu “atkritumi”.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Likuma papildināšana ar 58.</w:t>
            </w:r>
            <w:r w:rsidR="00000000" w:rsidRPr="00000000" w:rsidDel="00000000">
              <w:rPr>
                <w:vertAlign w:val="superscript"/>
                <w:rtl w:val="0"/>
              </w:rPr>
              <w:t xml:space="preserve">5</w:t>
            </w:r>
            <w:r w:rsidR="00000000" w:rsidRPr="00000000" w:rsidDel="00000000">
              <w:rPr>
                <w:rtl w:val="0"/>
              </w:rPr>
              <w:t xml:space="preserve">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trešajā daļā tiek lietots jēdziens “elektroenerģētika”, tomēr šāds jēdziens nav definēts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Likuma 59. panta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redakcija likuma 59.panta pirmajā daļā jau šobrīd ir spēkā esoša, līdz ar to likumprojekta attiecīgo grozījumu ievaddaļa būtu jāprecizē, norādot, ka likuma 59.pants jāpapildina 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Likuma 60. panta papildināšana ar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“dabasgāzē” aizstājams ar vārdiem “dabasgāzes apgādē” (skatīt 59.panta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Likuma 76. panta otrās daļas izslēgšana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76.panta pirmajā daļā būtu jāaizstāj Ekonomikas ministrija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Likuma 112. panta papildināšana ar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papildināt aiz vārda “transportēšanai” ar vārdiem “savstarpēji savienotā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Likuma 113. panta 16.punkta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iepriekšējā atzinuma punktā norādīts, arī šeit iztrūkst norādes par to, kur ir paredzēta “ievadīšana”. Papildus, Regulators vērš uzmanību, ka ar minēto grozījumu ir paredzēts, ka dabasgāzes pārvades sistēmas operatoram vairs nebūs pienākuma nodrošināt gāzes uzskaiti un kvalitātes kontroli. Ievērojot minēto, Regulatora ieskatā, ir būtiski šāda grozījuma nepieciešamību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Likuma papildināšana ar 122.panta ceturto, piekto,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izvērtēt 122. panta ceturtajā, piektajā, sestajā un septītajā daļā noteikto, ņemot vērā to, ka te minēto modelēšanas sistēmu plānots ieviest, neveidojot konkursu šādas  sistēmas ieviešanai. Līdzīgi 6. iebildumam šādas modelēšanas sistēmas ieviešana un attīstība būtu ietverama valsts pētījumu programmā zinātnē. Regulators arī norāda, ka šobrīd ietvertais piedāvājums neietver modelēšanas sistēmas finansēšanas nosacījumus un tā sadali starp institūcijām, bet šāds uzdevums, ietverot to likumā, rada šaubas par te minēto institūciju atbildības sadali un pienākumiem, kā arī par sistēmas izveides ilglaicīgumu. Lūdzam saskaņot priekšlikumu ar tiem finansēšanas mehānismiem, kādi šobrīd darbojas Latvijā ar zinātni un pētījumiem saistītām aktivitātēm, ja nepieciešams, skaidrojot anotācijā plānoto modelēšanas sistēmas darbības un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Likuma papildināšana ar XIX nodaļu “Enerģētikas jomas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vērš uzmanību, ka būtu apsverams, vai šāda nodaļa Enerģētikas likumā būtu ietverama, ievērojot Regulatora norādes saistībā ar grozījumiem minētā likuma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un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enerģijas pārvade – energoapgādes veids, kas ietver elektroenerģijas transportēšanu savstarpēji savienotā augstsprieguma tīklā ar spriegumu ne mazāku kā 110 kilovoltiem (kV) vai dabasgāzes transportēšanu augsta spiediena cauruļvadu sistēmā ar darba spiedienu ne mazāku par 1,6 megapaskāliem (MPa) (izņemot transportēšanu pa sākumposma cauruļvadiem), lai to piegādātu enerģijas lietotājiem vai sadales sistēmai, izņemot enerģijas tirdzniecību;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enerģijas sadale – energoapgādes veids, kas ietver elektroenerģijas transportēšanu pa vidēja un zema sprieguma tīkliem ar spriegumu līdz 110 kilovoltiem (kV) vai dabasgāzes transportēšanu pa cauruļvadiem ar darba spiedienu līdz 1,6 megapaskāliem (MPa), lai to piegādātu enerģijas  lietotājiem vai ievadītu pārvades sistēmā, izņemot enerģijas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1.panta pirmo daļu ar 42.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siltumapgādes komersants – licencēts vai reģistrēts komersants, kas nodarbojas ar siltumenerģijas ražošanu vai sadali un pārvadi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Vertikāli integrēts komersants pērk autonomā ražotāja ražotās siltumenerģijas  apjomu, ko tas nav patērējis paša vajadzībām, un atlikumsiltumu par vienošanās cenu, ja tas nerada siltumenerģijas gala tarifa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Siltumapgādes komersants, kas ražo, pārvada un sadala un tirgo siltumenerģiju enerģijas lietotājiem, izmantojot centralizētās siltumapgādes sistēmu, nodrošina siltumenerģijas piegādi nepieciešamajā vai noteiktajā kvalitātē un pieprasītajā daudzumā.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Siltumapgādes komersants, kas, izmantojot centralizēto siltumapgādes sistēmu, ražo vai pārvada un sadala un tirgo siltumenerģiju galalietotājiem, ja starp tiem ir mājsaimniecības lietotāji, sniedz attiecīgo pakalpojumu, par regulatora noteiktajiem tarifiem vai, ja ir saņemta regulatora atļauja, par tarifiem, ko noteicis attiecīgais pakalpojumu sniedzējs saskaņā ar regulatora noteikto tarifu vai tarifu augšējās robežas aprēķināšanas un noteikšanas metodiku, izņemot šā likuma 49.pantā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kas, izmantojot centralizēto siltumapgādes sistēmu, ražo vai pārvada un sadala un tirgo siltumenerģiju galalietotājiem, ja starp tiem nav mājsaimniecības, vai, izmantojot individuālo siltumapgādes sistēmu, ražo un tirgo siltumenerģiju galalietotājiem, sniedz attiecīgo pakalpojumu par vienošanās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49.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vertikāli integrēta komersanta tehniski nodalītā centralizētā siltumapgādes sistēmā darbojas vairāki siltumenerģijas ražotāji, vertikāli integrētais komersants siltumenerģiju iepērk par vienošanās cenu saskaņā ar šā panta trešajā daļā noteiktajiem ekonomiskā pakāpeniskuma principa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Vertikāli integrētais komersants, slēdzot līgumus par siltumenerģijas iepirkšanu vai arī atsakoties tos slēgt, vadās pēc šādiem ekonomiskā pakāpeniskuma principa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piedāvātās siltumenerģijas cena un samaksas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siltumenerģijas pārvades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ražošanas režīma atbilstība patēriņa režīmam;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piedāvātās siltumenerģijas atbilstība sistēmas operatora noteiktajiem tehniskajiem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16.05.2023.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16.05.2023.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