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25-TA-3127: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projekta "IT rīka izstrāde MVU, GNU, VVU statusu noteikšanai”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projekta "IT rīka izstrāde MVU, GNU, VVU statusa noteikšanai" ietvaros izveidotā IT rīka lietotāji būs plašāka sabiedrība - gan atbalsta sniedzēju institūcijas, gan valsts atbalsta pretendenti (ap 500 uzņēmēji gadā), lūdzam papildināt </w:t>
            </w:r>
            <w:r w:rsidR="00000000" w:rsidRPr="00000000" w:rsidDel="00000000">
              <w:rPr>
                <w:b w:val="1"/>
                <w:rtl w:val="0"/>
              </w:rPr>
              <w:t xml:space="preserve">anotācijas risinājuma apraksta sadaļu, kā arī projekta pasi</w:t>
            </w:r>
            <w:r w:rsidR="00000000" w:rsidRPr="00000000" w:rsidDel="00000000">
              <w:rPr>
                <w:rtl w:val="0"/>
              </w:rPr>
              <w:t xml:space="preserve">, ar informāciju par to, ka projekta darbības virzienu ietvaros tiks nodrošināta datu piekļūstamība personām ar invaliditāti un funkcionēšanas ierobežojumiem atbilstoši Apvienoto Nāciju organizācijas Konvencijas par personu ar invaliditāti tiesībām 9.pantā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MK 04.06.2024. noteikumu Nr. 338 [1] 29.4.7. apakšpunkts paredz piekļūstamības testēšanas izmaksas un 29.12. apakšpunkts nosaka horizontālā principa "Vienlīdzība, iekļaušana, nediskriminācija un pamattiesību ievērošana" (turpmāk – HP VINPI) darbību īstenošanas izmaksas kā attiecināmās izmaksas, kā arī nepieciešamību uzkrāt HP VINPI rādītājus projekta īstenošanas gaitā (37.2.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Kabineta 04.06.2024. noteikumi Nr.338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personām  ar invaliditāti vienlīdzīgas iespējas un tiesības, projekta īstenotājs aicināts īstenot horizontālā principa “Vienlīdzība, iekļaušana, nediskriminācija un pamattiesību ievērošana” darbības.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personām  ar invaliditāti vienlīdzīgas iespējas un tiesības, projekta īstenotājs aicināts īstenot šādas horizontālā principa “Vienlīdzība, iekļaušana, nediskriminācija un pamattiesību ievērošana”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izstrādājot uz tīmekļvietnes un mobilajām ierīcēm izmantojamus pakalpojumus iedzīvotājiem, tiks nodrošināts piekļūstamības princips un iespēja vienlīdzīgi ar citiem  saņemt pakalpojumu cilvēkiem ar kustību, dzirdes, redzes un garīga rakstura traucējumiem, kā arī cilvēkiem ar zemām digitālajām prasmēm / digitālo pakalpojumu piekļūstamība;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vai finansējuma saņēmēja tīmekļvietnē tiks izveidota sadaļa "Viegli lasīt", kurā tiks iekļauta īsa aprakstoša informācija par projektu un citu lasītājiem nepieciešamu informāciju vieglajā valodā, lai plašākai sabiedrībai nodrošinātu iespēju uzzināt par ES fondu ieguldījumiem (skat. LM metodisko materiālu “Ceļvedis iekļaujošas vides veidošanai valsts un pašvaldību iestādēs (2020) https://www.lm.gov.lv/lv/celvedis-ieklaujosas-vides-veidosanai-valsts-un-pasvaldibu-iestades-2020 ).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8.2.sadaļu ar informāciju par horizontālā principa “Vienlīdzība, iekļaušana, nediskriminācija un pamattiesību ievērošana” rādītājiem, kuri ir jāuzkrāj atbilstoši 1.3.1.1. pasākuma MK noteikumu 37.2. apakšpunktam,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1.3.1.1. pasākuma MK noteikumu 37.2. apakšpunktam finansējuma saņēmējam ir pienākums uzkrāt datus par šādiem horizontālā principa “Vienlīdzība, iekļaušana, nediskriminācija un pamattiesību ievērošana” rādītājiem,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konsultatīva rakstura pasākumu skaitu par būvētās vides, informācijas tehnoloģiju risinājumu, informācijas tehnoloģiju piekļūstamību personām ar dažādiem funkcionāliem traucējumiem;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digitālo pakalpojumu vai programmu skaitu, kur ir veikta informācijas pielāgošana specifiskām lietotāju grupām (personām ar redzes, dzirdes un garīga rakstura traucējumiem).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īstenošanā tiks ievēroti vispārējie nediskriminācijas principi, kā arī finansējuma saņēmējs ņems vērā prasības attiecībā uz informācijas piekļūstamību.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25-TA-3127</w:t>
    </w:r>
    <w:r>
      <w:br/>
    </w:r>
    <w:r w:rsidR="00000000" w:rsidRPr="00000000" w:rsidDel="00000000">
      <w:rPr>
        <w:rtl w:val="0"/>
      </w:rPr>
      <w:t xml:space="preserve">Izdrukāts 02.02.2026. 10.51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25-TA-3127</w:t>
    </w:r>
    <w:r>
      <w:br/>
    </w:r>
    <w:r w:rsidR="00000000" w:rsidRPr="00000000" w:rsidDel="00000000">
      <w:rPr>
        <w:rtl w:val="0"/>
      </w:rPr>
      <w:t xml:space="preserve">Izdrukāts 02.02.2026. 10.51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Atzinumi_25-TA-3127.docx</dc:title>
</cp:coreProperties>
</file>

<file path=docProps/custom.xml><?xml version="1.0" encoding="utf-8"?>
<Properties xmlns="http://schemas.openxmlformats.org/officeDocument/2006/custom-properties" xmlns:vt="http://schemas.openxmlformats.org/officeDocument/2006/docPropsVTypes"/>
</file>