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"dzivniekupolicija.lv"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datubāzē izdarāma atzīme par suni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noteikumus ar skaidru regulējumu par dzīvnieku patversmju lomu gadījumos, kad tās nodrošina bīstama suņa pagaidu aprūpi procesa laikā. Iepriekš spēkā esošajos Ministru kabineta noteikumos Nr. 428 „Kārtība, kādā suni atzīst par bīstamu, un prasības bīstama suņa turēšanai” gadījumos, kad dzīvnieki pēc uzbrukuma nonāca patversmē un tika atzīti par bīstamiem, patversmei kā suņa turētājiem tika uzlikts pienākums nodrošināt arī ar bīstama suņa statusu saistīto prasību izpildi, tostarp segt izdevumus par bīstama suņa reģistrāciju un atpazīšanas zīmju sagatavošanu (kakla siksnu ar atstarojošu lenti un uzrakstu), kā arī citus pasākumus, kas pēc būtības attiecas uz suņa īpašnieka atbildību. Turklāt patversmē tika veiktas pārbaudes, lai kontrolētu 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09.07.2026. izziņā par noteikumu projektu Nr.26-TA-631 Zemkopības ministrija apstiprina, ka minētie pienākumi neattiecas uz dzīvnieku patversmēm un ka dzīvnieku patversme ir pagaidu turēšanas vieta, būtu nepieciešams šo regulējumu noteikumos noteikt nepārprotami un skaidri, lai novērstu atšķirīgu interpretāciju un turpmākas situācijas, kurās patversmei kā pagaidu turētājam, kurai jānodrošina tikai ar dzīvnieka labturību, aprūpi un drošību saistītās funkcijas, tiek uzlikti dzīvnieka īpašnieka pienākumi un ar tiem saistīto izdevumu segšana. Tomēr Pārtikas un veterinārais dienests un Policija šajos gadījumos pret dzīvnieku patversmi piemēro prasības kā pret dzīvnieku īpašnieku vai turētāju, jo Lauku atbalsta dienesta dzīvnieku reģistrā  15 (piecpadsmitajā) dienā automātiski dzīvnieks tiek pārrēģistrēts uz dzīvnieku patversmi kā īpašnieku. Iepriekš spēkā esošajos noteikumos Nr.428 nebija atrunāta patversmes loma, kas radīja atšķirīgu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Celitāne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16.07.2026.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16.07.2026.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