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Atveseļošanas un noturības mehānisma plāna papildinājumu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Atveseļošanas un noturības mehānisma plāna papildinājums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Latvijas Atveseļošanas un noturības mehānisma plāna papildinājuma projekta (turpmāk - plāna projekts) redakciju, nodrošinot, ka plāna projektā tiek lietotas korektas atsauces uz Eiropas Savienības tiesību aktiem un to normām. Tai skaitā lūdzam precizēt plāna projekta 2.nodaļā minēto regulu nosaukumus - ar E</w:t>
            </w:r>
            <w:r w:rsidR="00000000" w:rsidRPr="00000000" w:rsidDel="00000000">
              <w:rPr>
                <w:i w:val="1"/>
                <w:rtl w:val="0"/>
              </w:rPr>
              <w:t xml:space="preserve">iropas Parlamenta un Padomes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2021. gada 12. februāra </w:t>
            </w:r>
            <w:r w:rsidR="00000000" w:rsidRPr="00000000" w:rsidDel="00000000">
              <w:rPr>
                <w:i w:val="1"/>
                <w:rtl w:val="0"/>
              </w:rPr>
              <w:t xml:space="preserve">regula (ES) 2021/241 (), ar ko izveido Atveseļošanas un noturības mehānismu</w:t>
            </w:r>
            <w:r w:rsidR="00000000" w:rsidRPr="00000000" w:rsidDel="00000000">
              <w:rPr>
                <w:rtl w:val="0"/>
              </w:rPr>
              <w:t xml:space="preserve"> un </w:t>
            </w:r>
            <w:r w:rsidR="00000000" w:rsidRPr="00000000" w:rsidDel="00000000">
              <w:rPr>
                <w:i w:val="1"/>
                <w:rtl w:val="0"/>
              </w:rPr>
              <w:t xml:space="preserve">Eiropas Parlamenta un Padomes 2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023. gada 27. februāria</w:t>
            </w:r>
            <w:r w:rsidR="00000000" w:rsidRPr="00000000" w:rsidDel="00000000">
              <w:rPr>
                <w:i w:val="1"/>
                <w:rtl w:val="0"/>
              </w:rPr>
              <w:t xml:space="preserve"> regula (ES) 2023/435, ar ko groza Regulu (ES) 2021/241 attiecībā uz REPowerEU nodaļām atveseļošanas un noturības plānos un groza Regulas (ES) Nr. 1303/2013, (ES) 2021/1060 un (ES) 2021/1755 un Direktīvu 2003/87/EK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arī papildinājumu pamatojumā precizēt atsauces uz regulu vienībām (piemēram, "AF regulas 21.pants").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Tāpat lūdzam plāna projektā nodrošināt saīsinājumu korektu izmantošanu, piemēram, atšifrēt saīsinājumu "ANP".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Andra Reinfelde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26.05.2023.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26.05.2023.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